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15F3" w14:textId="77777777" w:rsidR="00EB1C5A" w:rsidRPr="00E14EC2" w:rsidRDefault="00EB1C5A" w:rsidP="004321DB">
      <w:pPr>
        <w:pStyle w:val="F2-zkladn"/>
        <w:rPr>
          <w:b/>
          <w:sz w:val="28"/>
          <w:szCs w:val="28"/>
        </w:rPr>
      </w:pPr>
      <w:r>
        <w:rPr>
          <w:b/>
          <w:sz w:val="28"/>
          <w:szCs w:val="28"/>
        </w:rPr>
        <w:t>TISKOVÁ ZPRÁVA</w:t>
      </w:r>
    </w:p>
    <w:p w14:paraId="3730F680" w14:textId="3224C233" w:rsidR="00EB1C5A" w:rsidRDefault="00EB1C5A" w:rsidP="004321DB">
      <w:pPr>
        <w:pStyle w:val="F2-zkladn"/>
        <w:tabs>
          <w:tab w:val="right" w:pos="9070"/>
        </w:tabs>
      </w:pPr>
      <w:r>
        <w:tab/>
      </w:r>
      <w:r w:rsidR="7C25CE9C">
        <w:t xml:space="preserve"> </w:t>
      </w:r>
      <w:r w:rsidR="00BE16A9">
        <w:t xml:space="preserve">Praha, </w:t>
      </w:r>
      <w:r w:rsidR="00082265">
        <w:t>30</w:t>
      </w:r>
      <w:r w:rsidR="00BE16A9" w:rsidRPr="001665B3">
        <w:t>.</w:t>
      </w:r>
      <w:r w:rsidR="00BE16A9">
        <w:t xml:space="preserve"> </w:t>
      </w:r>
      <w:r w:rsidR="00A05DF4">
        <w:t>ledna</w:t>
      </w:r>
      <w:r w:rsidR="625BE913">
        <w:t xml:space="preserve"> </w:t>
      </w:r>
      <w:r w:rsidR="00BE16A9">
        <w:t>202</w:t>
      </w:r>
      <w:r w:rsidR="00A05DF4">
        <w:t>6</w:t>
      </w:r>
    </w:p>
    <w:p w14:paraId="1D4672CB" w14:textId="77777777" w:rsidR="007A39B8" w:rsidRDefault="007A39B8" w:rsidP="007A39B8">
      <w:pPr>
        <w:tabs>
          <w:tab w:val="right" w:pos="9070"/>
        </w:tabs>
        <w:spacing w:after="0" w:line="264" w:lineRule="auto"/>
        <w:jc w:val="both"/>
        <w:rPr>
          <w:rFonts w:ascii="Arial" w:hAnsi="Arial" w:cs="Arial"/>
          <w:b/>
          <w:bCs/>
          <w:sz w:val="24"/>
          <w:szCs w:val="24"/>
        </w:rPr>
      </w:pPr>
    </w:p>
    <w:p w14:paraId="20A50E59" w14:textId="77777777" w:rsidR="005E16B6" w:rsidRDefault="005E16B6" w:rsidP="007A39B8">
      <w:pPr>
        <w:tabs>
          <w:tab w:val="right" w:pos="9070"/>
        </w:tabs>
        <w:spacing w:after="0" w:line="264" w:lineRule="auto"/>
        <w:jc w:val="center"/>
        <w:rPr>
          <w:rFonts w:ascii="Arial" w:hAnsi="Arial" w:cs="Arial"/>
          <w:b/>
          <w:bCs/>
          <w:sz w:val="26"/>
          <w:szCs w:val="26"/>
        </w:rPr>
      </w:pPr>
    </w:p>
    <w:p w14:paraId="44CEA6FE" w14:textId="755639DD" w:rsidR="00C328B8" w:rsidRDefault="00A05DF4" w:rsidP="00A05DF4">
      <w:pPr>
        <w:pStyle w:val="Default"/>
        <w:spacing w:line="264" w:lineRule="auto"/>
        <w:jc w:val="center"/>
        <w:rPr>
          <w:rFonts w:eastAsia="Calibri"/>
          <w:b/>
          <w:bCs/>
          <w:color w:val="auto"/>
          <w:sz w:val="26"/>
          <w:szCs w:val="26"/>
        </w:rPr>
      </w:pPr>
      <w:r w:rsidRPr="00A05DF4">
        <w:rPr>
          <w:rFonts w:eastAsia="Calibri"/>
          <w:b/>
          <w:bCs/>
          <w:color w:val="auto"/>
          <w:sz w:val="26"/>
          <w:szCs w:val="26"/>
        </w:rPr>
        <w:t xml:space="preserve">Počet i objem fúzí a akvizic v ČR ve 4. čtvrtletí klesly, trh však ovládla miliardová akvizice </w:t>
      </w:r>
      <w:proofErr w:type="spellStart"/>
      <w:r w:rsidRPr="00A05DF4">
        <w:rPr>
          <w:rFonts w:eastAsia="Calibri"/>
          <w:b/>
          <w:bCs/>
          <w:color w:val="auto"/>
          <w:sz w:val="26"/>
          <w:szCs w:val="26"/>
        </w:rPr>
        <w:t>Tescan</w:t>
      </w:r>
      <w:proofErr w:type="spellEnd"/>
      <w:r w:rsidRPr="00A05DF4">
        <w:rPr>
          <w:rFonts w:eastAsia="Calibri"/>
          <w:b/>
          <w:bCs/>
          <w:color w:val="auto"/>
          <w:sz w:val="26"/>
          <w:szCs w:val="26"/>
        </w:rPr>
        <w:t xml:space="preserve"> Group</w:t>
      </w:r>
    </w:p>
    <w:p w14:paraId="7468DF0A" w14:textId="77777777" w:rsidR="00A05DF4" w:rsidRDefault="00A05DF4" w:rsidP="005500FE">
      <w:pPr>
        <w:pStyle w:val="Default"/>
        <w:spacing w:line="264" w:lineRule="auto"/>
        <w:jc w:val="both"/>
        <w:rPr>
          <w:rFonts w:eastAsia="Times New Roman"/>
          <w:b/>
          <w:bCs/>
          <w:sz w:val="22"/>
          <w:szCs w:val="22"/>
          <w:lang w:eastAsia="cs-CZ"/>
        </w:rPr>
      </w:pPr>
    </w:p>
    <w:p w14:paraId="4AD1F714" w14:textId="7B8010C9" w:rsidR="00A05DF4" w:rsidRDefault="00A05DF4" w:rsidP="005500FE">
      <w:pPr>
        <w:pStyle w:val="Default"/>
        <w:spacing w:line="264" w:lineRule="auto"/>
        <w:jc w:val="both"/>
        <w:rPr>
          <w:rFonts w:eastAsia="Times New Roman"/>
          <w:b/>
          <w:bCs/>
          <w:sz w:val="22"/>
          <w:szCs w:val="22"/>
          <w:lang w:eastAsia="cs-CZ"/>
        </w:rPr>
      </w:pPr>
      <w:r w:rsidRPr="00A05DF4">
        <w:rPr>
          <w:rFonts w:eastAsia="Times New Roman"/>
          <w:b/>
          <w:bCs/>
          <w:sz w:val="22"/>
          <w:szCs w:val="22"/>
          <w:lang w:eastAsia="cs-CZ"/>
        </w:rPr>
        <w:t xml:space="preserve">Počet i objem transakcí na trhu fúzí a akvizic v České republice v </w:t>
      </w:r>
      <w:r w:rsidR="00480AAA">
        <w:rPr>
          <w:rFonts w:eastAsia="Times New Roman"/>
          <w:b/>
          <w:bCs/>
          <w:sz w:val="22"/>
          <w:szCs w:val="22"/>
          <w:lang w:eastAsia="cs-CZ"/>
        </w:rPr>
        <w:t>loňském</w:t>
      </w:r>
      <w:r w:rsidRPr="00A05DF4">
        <w:rPr>
          <w:rFonts w:eastAsia="Times New Roman"/>
          <w:b/>
          <w:bCs/>
          <w:sz w:val="22"/>
          <w:szCs w:val="22"/>
          <w:lang w:eastAsia="cs-CZ"/>
        </w:rPr>
        <w:t xml:space="preserve"> čtvrtém čtvrtletí meziročně mírně klesl. Na území ČR či se zapojením ČR se uskutečnilo 30 transakcí za 1,152 miliardy eur (27,9 miliardy Kč). Za stejné období </w:t>
      </w:r>
      <w:r w:rsidR="00480AAA">
        <w:rPr>
          <w:rFonts w:eastAsia="Times New Roman"/>
          <w:b/>
          <w:bCs/>
          <w:sz w:val="22"/>
          <w:szCs w:val="22"/>
          <w:lang w:eastAsia="cs-CZ"/>
        </w:rPr>
        <w:t>před</w:t>
      </w:r>
      <w:r w:rsidRPr="00A05DF4">
        <w:rPr>
          <w:rFonts w:eastAsia="Times New Roman"/>
          <w:b/>
          <w:bCs/>
          <w:sz w:val="22"/>
          <w:szCs w:val="22"/>
          <w:lang w:eastAsia="cs-CZ"/>
        </w:rPr>
        <w:t>loni to bylo 33 transakcí za 1,197 miliardy eur (29 miliardy Kč). Objem transakcí na území ČR byl v posledním čtvrtletí loňského roku největší v sektoru zdravotnictví. Vyplývá to z pravidelných statistik poradenské společnosti TPA.</w:t>
      </w:r>
    </w:p>
    <w:p w14:paraId="1F7390DD" w14:textId="77777777" w:rsidR="009674C3" w:rsidRDefault="009674C3" w:rsidP="005500FE">
      <w:pPr>
        <w:pStyle w:val="Default"/>
        <w:spacing w:line="264" w:lineRule="auto"/>
        <w:jc w:val="both"/>
        <w:rPr>
          <w:rFonts w:eastAsia="Times New Roman"/>
          <w:b/>
          <w:bCs/>
          <w:sz w:val="22"/>
          <w:szCs w:val="22"/>
          <w:lang w:eastAsia="cs-CZ"/>
        </w:rPr>
      </w:pPr>
    </w:p>
    <w:p w14:paraId="06BDA6FD" w14:textId="6A8A521B" w:rsidR="009674C3" w:rsidRDefault="004F326F" w:rsidP="009674C3">
      <w:pPr>
        <w:pStyle w:val="Default"/>
        <w:spacing w:line="264" w:lineRule="auto"/>
        <w:jc w:val="both"/>
        <w:rPr>
          <w:rFonts w:eastAsia="Calibri"/>
          <w:color w:val="auto"/>
          <w:sz w:val="22"/>
          <w:szCs w:val="22"/>
        </w:rPr>
      </w:pPr>
      <w:r w:rsidRPr="004F326F">
        <w:rPr>
          <w:rFonts w:eastAsia="Calibri"/>
          <w:color w:val="auto"/>
          <w:sz w:val="22"/>
          <w:szCs w:val="22"/>
        </w:rPr>
        <w:t xml:space="preserve">Nejvýznamnější zveřejněnou transakcí na území ČR byla ve čtvrtém čtvrtletí loni akvizice brněnské technologické skupiny </w:t>
      </w:r>
      <w:proofErr w:type="spellStart"/>
      <w:r w:rsidRPr="004F326F">
        <w:rPr>
          <w:rFonts w:eastAsia="Calibri"/>
          <w:color w:val="auto"/>
          <w:sz w:val="22"/>
          <w:szCs w:val="22"/>
        </w:rPr>
        <w:t>Tescan</w:t>
      </w:r>
      <w:proofErr w:type="spellEnd"/>
      <w:r w:rsidRPr="004F326F">
        <w:rPr>
          <w:rFonts w:eastAsia="Calibri"/>
          <w:color w:val="auto"/>
          <w:sz w:val="22"/>
          <w:szCs w:val="22"/>
        </w:rPr>
        <w:t xml:space="preserve"> Group, která se specializuje na výrobu elektronových mikroskopů a pokročilých analytických zařízení. Kupujícím se stala japonská společnost </w:t>
      </w:r>
      <w:proofErr w:type="spellStart"/>
      <w:r w:rsidRPr="004F326F">
        <w:rPr>
          <w:rFonts w:eastAsia="Calibri"/>
          <w:color w:val="auto"/>
          <w:sz w:val="22"/>
          <w:szCs w:val="22"/>
        </w:rPr>
        <w:t>Shimadzu</w:t>
      </w:r>
      <w:proofErr w:type="spellEnd"/>
      <w:r w:rsidRPr="004F326F">
        <w:rPr>
          <w:rFonts w:eastAsia="Calibri"/>
          <w:color w:val="auto"/>
          <w:sz w:val="22"/>
          <w:szCs w:val="22"/>
        </w:rPr>
        <w:t xml:space="preserve"> </w:t>
      </w:r>
      <w:proofErr w:type="spellStart"/>
      <w:r w:rsidRPr="004F326F">
        <w:rPr>
          <w:rFonts w:eastAsia="Calibri"/>
          <w:color w:val="auto"/>
          <w:sz w:val="22"/>
          <w:szCs w:val="22"/>
        </w:rPr>
        <w:t>Corporation</w:t>
      </w:r>
      <w:proofErr w:type="spellEnd"/>
      <w:r w:rsidRPr="004F326F">
        <w:rPr>
          <w:rFonts w:eastAsia="Calibri"/>
          <w:color w:val="auto"/>
          <w:sz w:val="22"/>
          <w:szCs w:val="22"/>
        </w:rPr>
        <w:t xml:space="preserve">, která za 100% podíl zaplatila přibližně 722 mil. eur. </w:t>
      </w:r>
      <w:r w:rsidRPr="004F326F">
        <w:rPr>
          <w:rFonts w:eastAsia="Calibri"/>
          <w:i/>
          <w:iCs/>
          <w:color w:val="auto"/>
          <w:sz w:val="22"/>
          <w:szCs w:val="22"/>
        </w:rPr>
        <w:t xml:space="preserve">„Transakce představuje výrazné zhodnocení investice předchozího vlastníka, fondu </w:t>
      </w:r>
      <w:proofErr w:type="spellStart"/>
      <w:r w:rsidRPr="004F326F">
        <w:rPr>
          <w:rFonts w:eastAsia="Calibri"/>
          <w:i/>
          <w:iCs/>
          <w:color w:val="auto"/>
          <w:sz w:val="22"/>
          <w:szCs w:val="22"/>
        </w:rPr>
        <w:t>Carlyle</w:t>
      </w:r>
      <w:proofErr w:type="spellEnd"/>
      <w:r w:rsidRPr="004F326F">
        <w:rPr>
          <w:rFonts w:eastAsia="Calibri"/>
          <w:i/>
          <w:iCs/>
          <w:color w:val="auto"/>
          <w:sz w:val="22"/>
          <w:szCs w:val="22"/>
        </w:rPr>
        <w:t xml:space="preserve"> Group, který </w:t>
      </w:r>
      <w:proofErr w:type="spellStart"/>
      <w:r w:rsidRPr="004F326F">
        <w:rPr>
          <w:rFonts w:eastAsia="Calibri"/>
          <w:i/>
          <w:iCs/>
          <w:color w:val="auto"/>
          <w:sz w:val="22"/>
          <w:szCs w:val="22"/>
        </w:rPr>
        <w:t>Tescan</w:t>
      </w:r>
      <w:proofErr w:type="spellEnd"/>
      <w:r w:rsidRPr="004F326F">
        <w:rPr>
          <w:rFonts w:eastAsia="Calibri"/>
          <w:i/>
          <w:iCs/>
          <w:color w:val="auto"/>
          <w:sz w:val="22"/>
          <w:szCs w:val="22"/>
        </w:rPr>
        <w:t xml:space="preserve"> získal před zhruba třemi lety,“</w:t>
      </w:r>
      <w:r w:rsidRPr="004F326F">
        <w:rPr>
          <w:rFonts w:eastAsia="Calibri"/>
          <w:color w:val="auto"/>
          <w:sz w:val="22"/>
          <w:szCs w:val="22"/>
        </w:rPr>
        <w:t xml:space="preserve"> </w:t>
      </w:r>
      <w:r w:rsidR="0071272D">
        <w:rPr>
          <w:rFonts w:eastAsia="Calibri"/>
          <w:color w:val="auto"/>
          <w:sz w:val="22"/>
          <w:szCs w:val="22"/>
        </w:rPr>
        <w:t xml:space="preserve">uvedl </w:t>
      </w:r>
      <w:r w:rsidR="0071272D" w:rsidRPr="007672E8">
        <w:rPr>
          <w:rFonts w:eastAsia="Calibri"/>
          <w:color w:val="auto"/>
          <w:sz w:val="22"/>
          <w:szCs w:val="22"/>
        </w:rPr>
        <w:t xml:space="preserve">Jiří Hlaváč partner TPA </w:t>
      </w:r>
      <w:proofErr w:type="spellStart"/>
      <w:r w:rsidR="0071272D" w:rsidRPr="007672E8">
        <w:rPr>
          <w:rFonts w:eastAsia="Calibri"/>
          <w:color w:val="auto"/>
          <w:sz w:val="22"/>
          <w:szCs w:val="22"/>
        </w:rPr>
        <w:t>Valuation</w:t>
      </w:r>
      <w:proofErr w:type="spellEnd"/>
      <w:r w:rsidR="0071272D" w:rsidRPr="007672E8">
        <w:rPr>
          <w:rFonts w:eastAsia="Calibri"/>
          <w:color w:val="auto"/>
          <w:sz w:val="22"/>
          <w:szCs w:val="22"/>
        </w:rPr>
        <w:t xml:space="preserve"> &amp; Advisory.</w:t>
      </w:r>
      <w:r w:rsidR="0071272D">
        <w:rPr>
          <w:rFonts w:eastAsia="Calibri"/>
          <w:color w:val="auto"/>
          <w:sz w:val="22"/>
          <w:szCs w:val="22"/>
        </w:rPr>
        <w:t xml:space="preserve"> </w:t>
      </w:r>
      <w:r w:rsidR="009674C3" w:rsidRPr="009674C3">
        <w:rPr>
          <w:rFonts w:eastAsia="Calibri"/>
          <w:color w:val="auto"/>
          <w:sz w:val="22"/>
          <w:szCs w:val="22"/>
        </w:rPr>
        <w:t>Dokončení prodeje se očekává příští rok po schválení regulačními orgány.</w:t>
      </w:r>
    </w:p>
    <w:p w14:paraId="68176632" w14:textId="77777777" w:rsidR="004F326F" w:rsidRDefault="004F326F" w:rsidP="009674C3">
      <w:pPr>
        <w:pStyle w:val="Default"/>
        <w:spacing w:line="264" w:lineRule="auto"/>
        <w:jc w:val="both"/>
        <w:rPr>
          <w:rFonts w:eastAsia="Calibri"/>
          <w:color w:val="auto"/>
          <w:sz w:val="22"/>
          <w:szCs w:val="22"/>
        </w:rPr>
      </w:pPr>
    </w:p>
    <w:p w14:paraId="139AEA1B" w14:textId="530ED19E" w:rsidR="004F326F" w:rsidRDefault="004F326F" w:rsidP="009674C3">
      <w:pPr>
        <w:pStyle w:val="Default"/>
        <w:spacing w:line="264" w:lineRule="auto"/>
        <w:jc w:val="both"/>
        <w:rPr>
          <w:rFonts w:eastAsia="Calibri"/>
          <w:color w:val="auto"/>
          <w:sz w:val="22"/>
          <w:szCs w:val="22"/>
        </w:rPr>
      </w:pPr>
      <w:r w:rsidRPr="004F326F">
        <w:rPr>
          <w:rFonts w:eastAsia="Calibri"/>
          <w:color w:val="auto"/>
          <w:sz w:val="22"/>
          <w:szCs w:val="22"/>
        </w:rPr>
        <w:t>V celém středoevropském regionu (Albánie, Bulharsko, Černá Hora, Česká republika, Chorvatsko, Maďarsko, Polsko, Rakousko, Rumunsko, Slovensko, Slovinsko a Srbsko) TPA registruje naopak mírný meziroční nárůst počtu i objemu transakcí. Celkově se tak ve čtvrtém čtvrtletí v regionu uskutečnilo 229 transakcí za 4,416 miliardy eur (107,1 miliardy Kč). Ve stejné období loni to bylo 223 transakcí za 4,227 miliardy eur (102,5 miliardy Kč). Nejvíce transakcí bylo opět zaznamenáno v Polsku, které si udrželo i prvenství z hlediska celkového objemu.</w:t>
      </w:r>
    </w:p>
    <w:p w14:paraId="3443E933" w14:textId="77777777" w:rsidR="004F326F" w:rsidRDefault="004F326F" w:rsidP="009674C3">
      <w:pPr>
        <w:pStyle w:val="Default"/>
        <w:spacing w:line="264" w:lineRule="auto"/>
        <w:jc w:val="both"/>
        <w:rPr>
          <w:rFonts w:eastAsia="Calibri"/>
          <w:color w:val="auto"/>
          <w:sz w:val="22"/>
          <w:szCs w:val="22"/>
        </w:rPr>
      </w:pPr>
    </w:p>
    <w:p w14:paraId="7E418E35" w14:textId="679FF871" w:rsidR="004F326F" w:rsidRPr="007357E4" w:rsidRDefault="004F326F" w:rsidP="004F326F">
      <w:pPr>
        <w:pStyle w:val="Default"/>
        <w:spacing w:line="264" w:lineRule="auto"/>
        <w:jc w:val="both"/>
        <w:rPr>
          <w:rFonts w:eastAsia="Calibri"/>
          <w:i/>
          <w:iCs/>
          <w:color w:val="auto"/>
          <w:sz w:val="22"/>
          <w:szCs w:val="22"/>
        </w:rPr>
      </w:pPr>
      <w:r w:rsidRPr="004F326F">
        <w:rPr>
          <w:rFonts w:eastAsia="Calibri"/>
          <w:color w:val="auto"/>
          <w:sz w:val="22"/>
          <w:szCs w:val="22"/>
        </w:rPr>
        <w:t>Nejvýznamnější zveřejněnou transakcí v celém regionu byl ve čtvrtém čtvrtletí lo</w:t>
      </w:r>
      <w:r>
        <w:rPr>
          <w:rFonts w:eastAsia="Calibri"/>
          <w:color w:val="auto"/>
          <w:sz w:val="22"/>
          <w:szCs w:val="22"/>
        </w:rPr>
        <w:t>ňského roku</w:t>
      </w:r>
      <w:r w:rsidRPr="004F326F">
        <w:rPr>
          <w:rFonts w:eastAsia="Calibri"/>
          <w:color w:val="auto"/>
          <w:sz w:val="22"/>
          <w:szCs w:val="22"/>
        </w:rPr>
        <w:t xml:space="preserve"> prodej rakouské energetické společnosti </w:t>
      </w:r>
      <w:proofErr w:type="spellStart"/>
      <w:r w:rsidRPr="004F326F">
        <w:rPr>
          <w:rFonts w:eastAsia="Calibri"/>
          <w:color w:val="auto"/>
          <w:sz w:val="22"/>
          <w:szCs w:val="22"/>
        </w:rPr>
        <w:t>ImWind</w:t>
      </w:r>
      <w:proofErr w:type="spellEnd"/>
      <w:r w:rsidRPr="004F326F">
        <w:rPr>
          <w:rFonts w:eastAsia="Calibri"/>
          <w:color w:val="auto"/>
          <w:sz w:val="22"/>
          <w:szCs w:val="22"/>
        </w:rPr>
        <w:t xml:space="preserve">. Ta provozuje 52 větrných turbín ve 14 větrných parcích a čtyři fotovoltaické elektrárny na území Rakouska. Kupujícím byl vídeňský dodavatel energií </w:t>
      </w:r>
      <w:proofErr w:type="spellStart"/>
      <w:r w:rsidRPr="004F326F">
        <w:rPr>
          <w:rFonts w:eastAsia="Calibri"/>
          <w:color w:val="auto"/>
          <w:sz w:val="22"/>
          <w:szCs w:val="22"/>
        </w:rPr>
        <w:t>Wien</w:t>
      </w:r>
      <w:proofErr w:type="spellEnd"/>
      <w:r w:rsidRPr="004F326F">
        <w:rPr>
          <w:rFonts w:eastAsia="Calibri"/>
          <w:color w:val="auto"/>
          <w:sz w:val="22"/>
          <w:szCs w:val="22"/>
        </w:rPr>
        <w:t xml:space="preserve"> Energie, který je ve vlastnictví města Vídeň. </w:t>
      </w:r>
      <w:r w:rsidRPr="007357E4">
        <w:rPr>
          <w:rFonts w:eastAsia="Calibri"/>
          <w:i/>
          <w:iCs/>
          <w:color w:val="auto"/>
          <w:sz w:val="22"/>
          <w:szCs w:val="22"/>
        </w:rPr>
        <w:t>„Hodnota transakce činí přibližně 800 milionů eur a akvizice</w:t>
      </w:r>
      <w:r w:rsidR="007357E4">
        <w:rPr>
          <w:rFonts w:eastAsia="Calibri"/>
          <w:i/>
          <w:iCs/>
          <w:color w:val="auto"/>
          <w:sz w:val="22"/>
          <w:szCs w:val="22"/>
        </w:rPr>
        <w:t xml:space="preserve"> </w:t>
      </w:r>
      <w:r w:rsidRPr="007357E4">
        <w:rPr>
          <w:rFonts w:eastAsia="Calibri"/>
          <w:i/>
          <w:iCs/>
          <w:color w:val="auto"/>
          <w:sz w:val="22"/>
          <w:szCs w:val="22"/>
        </w:rPr>
        <w:t xml:space="preserve">představuje významné strategické rozšíření portfolia obnovitelných zdrojů energie skupiny </w:t>
      </w:r>
      <w:proofErr w:type="spellStart"/>
      <w:r w:rsidRPr="007357E4">
        <w:rPr>
          <w:rFonts w:eastAsia="Calibri"/>
          <w:i/>
          <w:iCs/>
          <w:color w:val="auto"/>
          <w:sz w:val="22"/>
          <w:szCs w:val="22"/>
        </w:rPr>
        <w:t>Wien</w:t>
      </w:r>
      <w:proofErr w:type="spellEnd"/>
      <w:r w:rsidRPr="007357E4">
        <w:rPr>
          <w:rFonts w:eastAsia="Calibri"/>
          <w:i/>
          <w:iCs/>
          <w:color w:val="auto"/>
          <w:sz w:val="22"/>
          <w:szCs w:val="22"/>
        </w:rPr>
        <w:t xml:space="preserve"> Energie,“</w:t>
      </w:r>
      <w:r w:rsidRPr="004F326F">
        <w:rPr>
          <w:rFonts w:eastAsia="Calibri"/>
          <w:color w:val="auto"/>
          <w:sz w:val="22"/>
          <w:szCs w:val="22"/>
        </w:rPr>
        <w:t xml:space="preserve"> </w:t>
      </w:r>
      <w:r w:rsidR="007357E4">
        <w:rPr>
          <w:rFonts w:eastAsia="Calibri"/>
          <w:color w:val="auto"/>
          <w:sz w:val="22"/>
          <w:szCs w:val="22"/>
        </w:rPr>
        <w:t xml:space="preserve">uvedl </w:t>
      </w:r>
      <w:r w:rsidR="007357E4" w:rsidRPr="007672E8">
        <w:rPr>
          <w:rFonts w:eastAsia="Calibri"/>
          <w:color w:val="auto"/>
          <w:sz w:val="22"/>
          <w:szCs w:val="22"/>
        </w:rPr>
        <w:t>Jiří Hlaváč</w:t>
      </w:r>
      <w:r w:rsidR="007357E4">
        <w:rPr>
          <w:rFonts w:eastAsia="Calibri"/>
          <w:color w:val="auto"/>
          <w:sz w:val="22"/>
          <w:szCs w:val="22"/>
        </w:rPr>
        <w:t>.</w:t>
      </w:r>
    </w:p>
    <w:p w14:paraId="057E1476" w14:textId="77777777" w:rsidR="004F326F" w:rsidRDefault="004F326F" w:rsidP="009674C3">
      <w:pPr>
        <w:pStyle w:val="Default"/>
        <w:spacing w:line="264" w:lineRule="auto"/>
        <w:jc w:val="both"/>
        <w:rPr>
          <w:rFonts w:eastAsia="Calibri"/>
          <w:color w:val="auto"/>
          <w:sz w:val="22"/>
          <w:szCs w:val="22"/>
        </w:rPr>
      </w:pPr>
    </w:p>
    <w:p w14:paraId="47FB74F1" w14:textId="36753492" w:rsidR="004F326F" w:rsidRDefault="005601E7" w:rsidP="009674C3">
      <w:pPr>
        <w:pStyle w:val="Default"/>
        <w:spacing w:line="264" w:lineRule="auto"/>
        <w:jc w:val="both"/>
        <w:rPr>
          <w:rFonts w:eastAsia="Calibri"/>
          <w:color w:val="auto"/>
          <w:sz w:val="22"/>
          <w:szCs w:val="22"/>
        </w:rPr>
      </w:pPr>
      <w:r w:rsidRPr="005601E7">
        <w:rPr>
          <w:rFonts w:eastAsia="Calibri"/>
          <w:color w:val="auto"/>
          <w:sz w:val="22"/>
          <w:szCs w:val="22"/>
        </w:rPr>
        <w:t>Ve srovnání s třetím čtvrtletím loňského roku v celém regionu klesl počet transakcí o 11. Zároveň jejich objem klesl o zhruba 3,1 miliardy eur. V Česku počet transakcí mezičtvrtletně klesl o jednu, při poklesu objemu o zhruba 3,8 miliardy eur (pět miliardy eur ve 3. čtvrtletí vs. 1,152 miliardy eur ve 4. čtvrtletí).</w:t>
      </w:r>
    </w:p>
    <w:p w14:paraId="347B87C8" w14:textId="77777777" w:rsidR="005601E7" w:rsidRDefault="005601E7" w:rsidP="009674C3">
      <w:pPr>
        <w:pStyle w:val="Default"/>
        <w:spacing w:line="264" w:lineRule="auto"/>
        <w:jc w:val="both"/>
        <w:rPr>
          <w:rFonts w:eastAsia="Calibri"/>
          <w:color w:val="auto"/>
          <w:sz w:val="22"/>
          <w:szCs w:val="22"/>
        </w:rPr>
      </w:pPr>
    </w:p>
    <w:p w14:paraId="737F99F4" w14:textId="013864E6" w:rsidR="005601E7" w:rsidRDefault="005601E7" w:rsidP="009674C3">
      <w:pPr>
        <w:pStyle w:val="Default"/>
        <w:spacing w:line="264" w:lineRule="auto"/>
        <w:jc w:val="both"/>
        <w:rPr>
          <w:rFonts w:eastAsia="Calibri"/>
          <w:color w:val="auto"/>
          <w:sz w:val="22"/>
          <w:szCs w:val="22"/>
        </w:rPr>
      </w:pPr>
      <w:r w:rsidRPr="005601E7">
        <w:rPr>
          <w:rFonts w:eastAsia="Calibri"/>
          <w:i/>
          <w:iCs/>
          <w:color w:val="auto"/>
          <w:sz w:val="22"/>
          <w:szCs w:val="22"/>
        </w:rPr>
        <w:t xml:space="preserve">„V závěru roku 2025 zůstává aktivita na trhu fúzí akvizic v regionu CEE utlumená, přestože v první polovině roku došlo k mírnému oživení. Objem transakcí se stabilizoval, avšak stále nedosahuje úrovní z předchozích let. Celkový počet uskutečněných transakcí i počet transakcí </w:t>
      </w:r>
      <w:r w:rsidRPr="005601E7">
        <w:rPr>
          <w:rFonts w:eastAsia="Calibri"/>
          <w:i/>
          <w:iCs/>
          <w:color w:val="auto"/>
          <w:sz w:val="22"/>
          <w:szCs w:val="22"/>
        </w:rPr>
        <w:lastRenderedPageBreak/>
        <w:t>se známou hodnotou zůstává oproti rokům 2023 a 2024 nízký, což odráží přetrvávající opatrnost investorů,“</w:t>
      </w:r>
      <w:r w:rsidRPr="005601E7">
        <w:rPr>
          <w:rFonts w:eastAsia="Calibri"/>
          <w:color w:val="auto"/>
          <w:sz w:val="22"/>
          <w:szCs w:val="22"/>
        </w:rPr>
        <w:t xml:space="preserve"> upozornil</w:t>
      </w:r>
      <w:r>
        <w:rPr>
          <w:rFonts w:eastAsia="Calibri"/>
          <w:color w:val="auto"/>
          <w:sz w:val="22"/>
          <w:szCs w:val="22"/>
        </w:rPr>
        <w:t xml:space="preserve"> Jiří Hlaváč. </w:t>
      </w:r>
    </w:p>
    <w:p w14:paraId="30D22EE1" w14:textId="77777777" w:rsidR="005601E7" w:rsidRDefault="005601E7" w:rsidP="009674C3">
      <w:pPr>
        <w:pStyle w:val="Default"/>
        <w:spacing w:line="264" w:lineRule="auto"/>
        <w:jc w:val="both"/>
        <w:rPr>
          <w:rFonts w:eastAsia="Calibri"/>
          <w:color w:val="auto"/>
          <w:sz w:val="22"/>
          <w:szCs w:val="22"/>
        </w:rPr>
      </w:pPr>
    </w:p>
    <w:p w14:paraId="36425971" w14:textId="0A634069" w:rsidR="005601E7" w:rsidRPr="005601E7" w:rsidRDefault="005601E7" w:rsidP="005601E7">
      <w:pPr>
        <w:pStyle w:val="Default"/>
        <w:spacing w:line="264" w:lineRule="auto"/>
        <w:jc w:val="both"/>
        <w:rPr>
          <w:rFonts w:eastAsia="Calibri"/>
          <w:i/>
          <w:iCs/>
          <w:color w:val="auto"/>
          <w:sz w:val="22"/>
          <w:szCs w:val="22"/>
        </w:rPr>
      </w:pPr>
      <w:r w:rsidRPr="005601E7">
        <w:rPr>
          <w:rFonts w:eastAsia="Calibri"/>
          <w:color w:val="auto"/>
          <w:sz w:val="22"/>
          <w:szCs w:val="22"/>
        </w:rPr>
        <w:t xml:space="preserve">Trh je podle </w:t>
      </w:r>
      <w:r>
        <w:rPr>
          <w:rFonts w:eastAsia="Calibri"/>
          <w:color w:val="auto"/>
          <w:sz w:val="22"/>
          <w:szCs w:val="22"/>
        </w:rPr>
        <w:t>Jiřího Hlaváče</w:t>
      </w:r>
      <w:r w:rsidRPr="005601E7">
        <w:rPr>
          <w:rFonts w:eastAsia="Calibri"/>
          <w:color w:val="auto"/>
          <w:sz w:val="22"/>
          <w:szCs w:val="22"/>
        </w:rPr>
        <w:t xml:space="preserve"> nadále ovlivněn vysokou mírou nejistoty, která pramení z pokračujícího konfliktu na Ukrajině, nestabilní globální bezpečnostní situace a geopolitického napětí. Pro investory zůstávají atraktivní sektory počítačového softwaru, automatizace, digitalizace a robotizace či telekomunikací, zvýšená atraktivita zůstává v oblasti energetiky, zdravotnictví a infrastruktury. Dlouhodobě trvá zájem o výrobu s unikátním produktem. </w:t>
      </w:r>
      <w:r w:rsidRPr="005601E7">
        <w:rPr>
          <w:rFonts w:eastAsia="Calibri"/>
          <w:i/>
          <w:iCs/>
          <w:color w:val="auto"/>
          <w:sz w:val="22"/>
          <w:szCs w:val="22"/>
        </w:rPr>
        <w:t>„Tržní dynamika zůstává rozmanitá napříč jednotlivými segmenty, přičemž aktivita se koncentruje zejména v oblastech s vyšší mírou technologické inovace. Výhled na rok 2026 je opatrný, přesto však nelze vyloučit oživení v</w:t>
      </w:r>
      <w:r>
        <w:rPr>
          <w:rFonts w:eastAsia="Calibri"/>
          <w:i/>
          <w:iCs/>
          <w:color w:val="auto"/>
          <w:sz w:val="22"/>
          <w:szCs w:val="22"/>
        </w:rPr>
        <w:t> </w:t>
      </w:r>
      <w:r w:rsidRPr="005601E7">
        <w:rPr>
          <w:rFonts w:eastAsia="Calibri"/>
          <w:i/>
          <w:iCs/>
          <w:color w:val="auto"/>
          <w:sz w:val="22"/>
          <w:szCs w:val="22"/>
        </w:rPr>
        <w:t>atraktivních</w:t>
      </w:r>
      <w:r>
        <w:rPr>
          <w:rFonts w:eastAsia="Calibri"/>
          <w:i/>
          <w:iCs/>
          <w:color w:val="auto"/>
          <w:sz w:val="22"/>
          <w:szCs w:val="22"/>
        </w:rPr>
        <w:t xml:space="preserve"> s</w:t>
      </w:r>
      <w:r w:rsidRPr="005601E7">
        <w:rPr>
          <w:rFonts w:eastAsia="Calibri"/>
          <w:i/>
          <w:iCs/>
          <w:color w:val="auto"/>
          <w:sz w:val="22"/>
          <w:szCs w:val="22"/>
        </w:rPr>
        <w:t>egmentech,“</w:t>
      </w:r>
      <w:r w:rsidRPr="005601E7">
        <w:rPr>
          <w:rFonts w:eastAsia="Calibri"/>
          <w:color w:val="auto"/>
          <w:sz w:val="22"/>
          <w:szCs w:val="22"/>
        </w:rPr>
        <w:t xml:space="preserve"> dodal</w:t>
      </w:r>
      <w:r>
        <w:rPr>
          <w:rFonts w:eastAsia="Calibri"/>
          <w:color w:val="auto"/>
          <w:sz w:val="22"/>
          <w:szCs w:val="22"/>
        </w:rPr>
        <w:t xml:space="preserve"> Jiří Hlaváč, </w:t>
      </w:r>
      <w:r w:rsidRPr="007672E8">
        <w:rPr>
          <w:rFonts w:eastAsia="Calibri"/>
          <w:color w:val="auto"/>
          <w:sz w:val="22"/>
          <w:szCs w:val="22"/>
        </w:rPr>
        <w:t xml:space="preserve">partner TPA </w:t>
      </w:r>
      <w:proofErr w:type="spellStart"/>
      <w:r w:rsidRPr="007672E8">
        <w:rPr>
          <w:rFonts w:eastAsia="Calibri"/>
          <w:color w:val="auto"/>
          <w:sz w:val="22"/>
          <w:szCs w:val="22"/>
        </w:rPr>
        <w:t>Valuation</w:t>
      </w:r>
      <w:proofErr w:type="spellEnd"/>
      <w:r w:rsidRPr="007672E8">
        <w:rPr>
          <w:rFonts w:eastAsia="Calibri"/>
          <w:color w:val="auto"/>
          <w:sz w:val="22"/>
          <w:szCs w:val="22"/>
        </w:rPr>
        <w:t xml:space="preserve"> &amp; Advisory.</w:t>
      </w:r>
    </w:p>
    <w:p w14:paraId="39E0E798" w14:textId="77777777" w:rsidR="0024364D" w:rsidRPr="00F41FA0" w:rsidRDefault="0024364D" w:rsidP="00F41FA0">
      <w:pPr>
        <w:rPr>
          <w:rFonts w:ascii="Arial" w:hAnsi="Arial" w:cs="Arial"/>
        </w:rPr>
      </w:pPr>
    </w:p>
    <w:p w14:paraId="368A6582" w14:textId="77777777" w:rsidR="00021254" w:rsidRDefault="00021254" w:rsidP="003916F2">
      <w:pPr>
        <w:pStyle w:val="F2-zkladn"/>
        <w:tabs>
          <w:tab w:val="right" w:pos="9070"/>
        </w:tabs>
        <w:spacing w:before="0" w:line="240" w:lineRule="auto"/>
        <w:rPr>
          <w:b/>
        </w:rPr>
      </w:pPr>
    </w:p>
    <w:p w14:paraId="766502C4" w14:textId="77777777" w:rsidR="00EB1C5A" w:rsidRPr="007A39B8" w:rsidRDefault="00EB1C5A" w:rsidP="007A39B8">
      <w:pPr>
        <w:pStyle w:val="F2-zkladn"/>
        <w:tabs>
          <w:tab w:val="right" w:pos="9070"/>
        </w:tabs>
        <w:spacing w:before="0" w:line="264" w:lineRule="auto"/>
        <w:rPr>
          <w:b/>
        </w:rPr>
      </w:pPr>
      <w:r w:rsidRPr="007A39B8">
        <w:rPr>
          <w:b/>
        </w:rPr>
        <w:t>Pro více informací kontaktujte:</w:t>
      </w:r>
    </w:p>
    <w:p w14:paraId="1C28118A" w14:textId="73FE04A0" w:rsidR="00EB1C5A" w:rsidRPr="007A39B8" w:rsidRDefault="002A3294" w:rsidP="007A39B8">
      <w:pPr>
        <w:spacing w:after="0" w:line="264" w:lineRule="auto"/>
        <w:rPr>
          <w:rFonts w:ascii="Arial" w:hAnsi="Arial" w:cs="Arial"/>
          <w:sz w:val="20"/>
          <w:szCs w:val="20"/>
        </w:rPr>
      </w:pPr>
      <w:r w:rsidRPr="007A39B8">
        <w:rPr>
          <w:rFonts w:ascii="Arial" w:hAnsi="Arial" w:cs="Arial"/>
          <w:sz w:val="20"/>
          <w:szCs w:val="20"/>
        </w:rPr>
        <w:t xml:space="preserve">Kamila </w:t>
      </w:r>
      <w:proofErr w:type="spellStart"/>
      <w:r w:rsidRPr="007A39B8">
        <w:rPr>
          <w:rFonts w:ascii="Arial" w:hAnsi="Arial" w:cs="Arial"/>
          <w:sz w:val="20"/>
          <w:szCs w:val="20"/>
        </w:rPr>
        <w:t>Žitnáková</w:t>
      </w:r>
      <w:proofErr w:type="spellEnd"/>
    </w:p>
    <w:p w14:paraId="4835AA2F" w14:textId="77777777" w:rsidR="00EB1C5A" w:rsidRPr="007A39B8" w:rsidRDefault="00EB1C5A" w:rsidP="007A39B8">
      <w:pPr>
        <w:spacing w:after="0" w:line="264" w:lineRule="auto"/>
        <w:rPr>
          <w:rFonts w:ascii="Arial" w:hAnsi="Arial" w:cs="Arial"/>
          <w:b/>
          <w:bCs/>
          <w:sz w:val="20"/>
          <w:szCs w:val="20"/>
        </w:rPr>
      </w:pPr>
      <w:r w:rsidRPr="007A39B8">
        <w:rPr>
          <w:rFonts w:ascii="Arial" w:hAnsi="Arial" w:cs="Arial"/>
          <w:b/>
          <w:bCs/>
          <w:sz w:val="20"/>
          <w:szCs w:val="20"/>
        </w:rPr>
        <w:t>Crest Communications, a.s.</w:t>
      </w:r>
    </w:p>
    <w:p w14:paraId="4DCE98C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Ostrovní 126/30</w:t>
      </w:r>
    </w:p>
    <w:p w14:paraId="09C6E920" w14:textId="77777777" w:rsidR="00EB1C5A" w:rsidRPr="007A39B8" w:rsidRDefault="00EB1C5A" w:rsidP="007A39B8">
      <w:pPr>
        <w:spacing w:after="0" w:line="264" w:lineRule="auto"/>
        <w:rPr>
          <w:rFonts w:ascii="Arial" w:hAnsi="Arial" w:cs="Arial"/>
          <w:sz w:val="20"/>
          <w:szCs w:val="20"/>
        </w:rPr>
      </w:pPr>
      <w:r w:rsidRPr="007A39B8">
        <w:rPr>
          <w:rFonts w:ascii="Arial" w:hAnsi="Arial" w:cs="Arial"/>
          <w:sz w:val="20"/>
          <w:szCs w:val="20"/>
        </w:rPr>
        <w:t>110 00 Praha 1</w:t>
      </w:r>
    </w:p>
    <w:p w14:paraId="2EEA2F44" w14:textId="5E276D42" w:rsidR="00EB1C5A" w:rsidRPr="007A39B8" w:rsidRDefault="00EB1C5A" w:rsidP="007A39B8">
      <w:pPr>
        <w:spacing w:after="0" w:line="264" w:lineRule="auto"/>
        <w:rPr>
          <w:rFonts w:ascii="Arial" w:hAnsi="Arial" w:cs="Arial"/>
          <w:sz w:val="20"/>
          <w:szCs w:val="20"/>
        </w:rPr>
      </w:pPr>
      <w:proofErr w:type="spellStart"/>
      <w:r w:rsidRPr="007A39B8">
        <w:rPr>
          <w:rFonts w:ascii="Arial" w:hAnsi="Arial" w:cs="Arial"/>
          <w:sz w:val="20"/>
          <w:szCs w:val="20"/>
        </w:rPr>
        <w:t>gsm</w:t>
      </w:r>
      <w:proofErr w:type="spellEnd"/>
      <w:r w:rsidRPr="007A39B8">
        <w:rPr>
          <w:rFonts w:ascii="Arial" w:hAnsi="Arial" w:cs="Arial"/>
          <w:sz w:val="20"/>
          <w:szCs w:val="20"/>
        </w:rPr>
        <w:t xml:space="preserve">: + 420 </w:t>
      </w:r>
      <w:r w:rsidR="003D5F96" w:rsidRPr="007A39B8">
        <w:rPr>
          <w:rFonts w:ascii="Arial" w:hAnsi="Arial" w:cs="Arial"/>
          <w:sz w:val="20"/>
          <w:szCs w:val="20"/>
        </w:rPr>
        <w:t>725 544 106</w:t>
      </w:r>
    </w:p>
    <w:p w14:paraId="692417D8" w14:textId="77777777" w:rsidR="00EB1C5A" w:rsidRPr="007A39B8" w:rsidRDefault="00EB1C5A" w:rsidP="007A39B8">
      <w:pPr>
        <w:spacing w:after="0" w:line="264" w:lineRule="auto"/>
        <w:rPr>
          <w:rFonts w:ascii="Arial" w:hAnsi="Arial" w:cs="Arial"/>
          <w:sz w:val="20"/>
          <w:szCs w:val="20"/>
        </w:rPr>
      </w:pPr>
      <w:hyperlink w:tooltip="blocked::http://www.crestcom.cz&#10;http://www.crestcom.cz/" w:history="1">
        <w:r w:rsidRPr="007A39B8">
          <w:rPr>
            <w:rStyle w:val="Hypertextovodkaz"/>
            <w:rFonts w:ascii="Arial" w:hAnsi="Arial" w:cs="Arial"/>
            <w:color w:val="990033"/>
            <w:sz w:val="20"/>
            <w:szCs w:val="20"/>
          </w:rPr>
          <w:t>www.crestcom.cz</w:t>
        </w:r>
      </w:hyperlink>
    </w:p>
    <w:p w14:paraId="28B3B900" w14:textId="5CDD139B" w:rsidR="00316D20" w:rsidRPr="007A39B8" w:rsidRDefault="00EB1C5A" w:rsidP="007A39B8">
      <w:pPr>
        <w:spacing w:after="0" w:line="264" w:lineRule="auto"/>
        <w:rPr>
          <w:rStyle w:val="Hypertextovodkaz"/>
          <w:rFonts w:ascii="Arial" w:hAnsi="Arial" w:cs="Arial"/>
          <w:color w:val="990033"/>
          <w:sz w:val="20"/>
          <w:szCs w:val="20"/>
        </w:rPr>
      </w:pPr>
      <w:r w:rsidRPr="007A39B8">
        <w:rPr>
          <w:rFonts w:ascii="Arial" w:hAnsi="Arial" w:cs="Arial"/>
          <w:color w:val="000000"/>
          <w:sz w:val="20"/>
          <w:szCs w:val="20"/>
        </w:rPr>
        <w:t xml:space="preserve">e-mail: </w:t>
      </w:r>
      <w:hyperlink r:id="rId10" w:history="1">
        <w:r w:rsidR="002A3294" w:rsidRPr="007A39B8">
          <w:rPr>
            <w:rStyle w:val="Hypertextovodkaz"/>
            <w:rFonts w:ascii="Arial" w:hAnsi="Arial" w:cs="Arial"/>
            <w:sz w:val="20"/>
            <w:szCs w:val="20"/>
          </w:rPr>
          <w:t>kamila.zitnakova@crestcom.cz</w:t>
        </w:r>
      </w:hyperlink>
    </w:p>
    <w:p w14:paraId="0C9BF7BF" w14:textId="77777777" w:rsidR="002A3294" w:rsidRDefault="002A3294" w:rsidP="007A39B8">
      <w:pPr>
        <w:spacing w:after="0" w:line="264" w:lineRule="auto"/>
        <w:rPr>
          <w:rStyle w:val="Hypertextovodkaz"/>
          <w:rFonts w:ascii="Arial" w:hAnsi="Arial" w:cs="Arial"/>
          <w:color w:val="990033"/>
          <w:sz w:val="20"/>
          <w:szCs w:val="20"/>
        </w:rPr>
      </w:pPr>
    </w:p>
    <w:p w14:paraId="02B11144" w14:textId="77777777" w:rsidR="007A39B8" w:rsidRPr="007A39B8" w:rsidRDefault="007A39B8" w:rsidP="007A39B8">
      <w:pPr>
        <w:spacing w:after="0" w:line="264" w:lineRule="auto"/>
        <w:rPr>
          <w:rStyle w:val="Hypertextovodkaz"/>
          <w:rFonts w:ascii="Arial" w:hAnsi="Arial" w:cs="Arial"/>
          <w:color w:val="990033"/>
          <w:sz w:val="20"/>
          <w:szCs w:val="20"/>
        </w:rPr>
      </w:pPr>
    </w:p>
    <w:p w14:paraId="7DDF97E7" w14:textId="6C9F6855" w:rsidR="005A2DC0" w:rsidRPr="000516E7" w:rsidRDefault="000516E7" w:rsidP="000516E7">
      <w:pPr>
        <w:spacing w:after="0" w:line="264" w:lineRule="auto"/>
        <w:rPr>
          <w:rFonts w:ascii="Arial" w:hAnsi="Arial" w:cs="Arial"/>
          <w:sz w:val="20"/>
          <w:szCs w:val="20"/>
        </w:rPr>
      </w:pPr>
      <w:r>
        <w:rPr>
          <w:rFonts w:ascii="Arial" w:hAnsi="Arial" w:cs="Arial"/>
          <w:b/>
          <w:sz w:val="20"/>
          <w:szCs w:val="20"/>
        </w:rPr>
        <w:t>O společnosti TPA</w:t>
      </w:r>
      <w:r w:rsidR="00EB1C5A" w:rsidRPr="007A39B8">
        <w:rPr>
          <w:rFonts w:ascii="Arial" w:hAnsi="Arial" w:cs="Arial"/>
          <w:b/>
          <w:sz w:val="20"/>
          <w:szCs w:val="20"/>
        </w:rPr>
        <w:t>:</w:t>
      </w:r>
    </w:p>
    <w:p w14:paraId="05D36A23" w14:textId="77777777" w:rsidR="00EB1C5A" w:rsidRDefault="00EB1C5A" w:rsidP="007A39B8">
      <w:pPr>
        <w:pStyle w:val="F2-zkladn"/>
        <w:spacing w:before="0" w:line="264" w:lineRule="auto"/>
      </w:pPr>
      <w:r w:rsidRPr="007A39B8">
        <w:t xml:space="preserve">Skupina </w:t>
      </w:r>
      <w:r w:rsidRPr="007A39B8">
        <w:rPr>
          <w:b/>
        </w:rPr>
        <w:t>TPA Group</w:t>
      </w:r>
      <w:r w:rsidRPr="007A39B8">
        <w:t xml:space="preserve"> poskytuje v České republice své služby od roku 1993 a působí celkem v</w:t>
      </w:r>
      <w:r w:rsidR="00483CC4" w:rsidRPr="007A39B8">
        <w:t>e dvanácti</w:t>
      </w:r>
      <w:r w:rsidRPr="007A39B8">
        <w:t xml:space="preserve"> zemích střední a jihovýchodní Evropy. </w:t>
      </w:r>
      <w:r w:rsidR="009B0DF4" w:rsidRPr="007A39B8">
        <w:t xml:space="preserve">Poskytuje služby zejména v oblastech daňově poradenství, vedení účetnictví, auditu, oceňování a poradenství při akvizicích. </w:t>
      </w:r>
      <w:r w:rsidRPr="007A39B8">
        <w:t xml:space="preserve"> Zaměřuje se především na korporátní klienty podnikající na mezinárodní úrovni v oblasti střední a jihovýchodní Evropy. Skupina TPA Group je nezávislým členem aliance</w:t>
      </w:r>
      <w:r w:rsidRPr="007A39B8">
        <w:rPr>
          <w:b/>
        </w:rPr>
        <w:t xml:space="preserve"> </w:t>
      </w:r>
      <w:proofErr w:type="spellStart"/>
      <w:r w:rsidRPr="007A39B8">
        <w:rPr>
          <w:b/>
        </w:rPr>
        <w:t>Baker</w:t>
      </w:r>
      <w:proofErr w:type="spellEnd"/>
      <w:r w:rsidRPr="007A39B8">
        <w:rPr>
          <w:b/>
        </w:rPr>
        <w:t xml:space="preserve"> </w:t>
      </w:r>
      <w:proofErr w:type="spellStart"/>
      <w:r w:rsidRPr="007A39B8">
        <w:rPr>
          <w:b/>
        </w:rPr>
        <w:t>Tilly</w:t>
      </w:r>
      <w:proofErr w:type="spellEnd"/>
      <w:r w:rsidRPr="007A39B8">
        <w:rPr>
          <w:b/>
        </w:rPr>
        <w:t xml:space="preserve"> </w:t>
      </w:r>
      <w:proofErr w:type="spellStart"/>
      <w:r w:rsidRPr="007A39B8">
        <w:rPr>
          <w:b/>
        </w:rPr>
        <w:t>Europe</w:t>
      </w:r>
      <w:proofErr w:type="spellEnd"/>
      <w:r w:rsidRPr="007A39B8">
        <w:rPr>
          <w:b/>
        </w:rPr>
        <w:t xml:space="preserve"> </w:t>
      </w:r>
      <w:proofErr w:type="spellStart"/>
      <w:r w:rsidRPr="007A39B8">
        <w:rPr>
          <w:b/>
        </w:rPr>
        <w:t>Alliance</w:t>
      </w:r>
      <w:proofErr w:type="spellEnd"/>
      <w:r w:rsidRPr="007A39B8">
        <w:t xml:space="preserve">, jejímiž dalšími členy je celosvětová poradenská síť </w:t>
      </w:r>
      <w:hyperlink r:id="rId11" w:history="1">
        <w:proofErr w:type="spellStart"/>
        <w:r w:rsidRPr="007A39B8">
          <w:rPr>
            <w:rStyle w:val="Hypertextovodkaz"/>
            <w:b/>
          </w:rPr>
          <w:t>Baker</w:t>
        </w:r>
        <w:proofErr w:type="spellEnd"/>
        <w:r w:rsidRPr="007A39B8">
          <w:rPr>
            <w:rStyle w:val="Hypertextovodkaz"/>
            <w:b/>
          </w:rPr>
          <w:t xml:space="preserve"> </w:t>
        </w:r>
        <w:proofErr w:type="spellStart"/>
        <w:r w:rsidRPr="007A39B8">
          <w:rPr>
            <w:rStyle w:val="Hypertextovodkaz"/>
            <w:b/>
          </w:rPr>
          <w:t>Tilly</w:t>
        </w:r>
        <w:proofErr w:type="spellEnd"/>
        <w:r w:rsidRPr="007A39B8">
          <w:rPr>
            <w:rStyle w:val="Hypertextovodkaz"/>
            <w:b/>
          </w:rPr>
          <w:t xml:space="preserve"> International</w:t>
        </w:r>
      </w:hyperlink>
      <w:r w:rsidRPr="007A39B8">
        <w:t xml:space="preserve"> a samostatný člen </w:t>
      </w:r>
      <w:proofErr w:type="spellStart"/>
      <w:r w:rsidRPr="007A39B8">
        <w:t>Baker</w:t>
      </w:r>
      <w:proofErr w:type="spellEnd"/>
      <w:r w:rsidRPr="007A39B8">
        <w:t xml:space="preserve"> </w:t>
      </w:r>
      <w:proofErr w:type="spellStart"/>
      <w:r w:rsidRPr="007A39B8">
        <w:t>Tilly</w:t>
      </w:r>
      <w:proofErr w:type="spellEnd"/>
      <w:r w:rsidRPr="007A39B8">
        <w:t xml:space="preserve"> International, </w:t>
      </w:r>
      <w:hyperlink r:id="rId12" w:history="1">
        <w:proofErr w:type="spellStart"/>
        <w:r w:rsidR="00433B9A" w:rsidRPr="007A39B8">
          <w:rPr>
            <w:rStyle w:val="Hypertextovodkaz"/>
            <w:b/>
          </w:rPr>
          <w:t>Baker</w:t>
        </w:r>
        <w:proofErr w:type="spellEnd"/>
        <w:r w:rsidR="00433B9A" w:rsidRPr="007A39B8">
          <w:rPr>
            <w:rStyle w:val="Hypertextovodkaz"/>
            <w:b/>
          </w:rPr>
          <w:t xml:space="preserve"> </w:t>
        </w:r>
        <w:proofErr w:type="spellStart"/>
        <w:r w:rsidR="00433B9A" w:rsidRPr="007A39B8">
          <w:rPr>
            <w:rStyle w:val="Hypertextovodkaz"/>
            <w:b/>
          </w:rPr>
          <w:t>Tilly</w:t>
        </w:r>
        <w:proofErr w:type="spellEnd"/>
      </w:hyperlink>
      <w:r w:rsidRPr="007A39B8">
        <w:t xml:space="preserve"> v Německu. Díky členství v </w:t>
      </w:r>
      <w:proofErr w:type="spellStart"/>
      <w:r w:rsidRPr="007A39B8">
        <w:t>Baker</w:t>
      </w:r>
      <w:proofErr w:type="spellEnd"/>
      <w:r w:rsidRPr="007A39B8">
        <w:t xml:space="preserve"> </w:t>
      </w:r>
      <w:proofErr w:type="spellStart"/>
      <w:r w:rsidRPr="007A39B8">
        <w:t>Tilly</w:t>
      </w:r>
      <w:proofErr w:type="spellEnd"/>
      <w:r w:rsidRPr="007A39B8">
        <w:t xml:space="preserve"> </w:t>
      </w:r>
      <w:proofErr w:type="spellStart"/>
      <w:r w:rsidRPr="007A39B8">
        <w:t>Europe</w:t>
      </w:r>
      <w:proofErr w:type="spellEnd"/>
      <w:r w:rsidRPr="007A39B8">
        <w:t xml:space="preserve"> </w:t>
      </w:r>
      <w:proofErr w:type="spellStart"/>
      <w:r w:rsidRPr="007A39B8">
        <w:t>Allience</w:t>
      </w:r>
      <w:proofErr w:type="spellEnd"/>
      <w:r w:rsidRPr="007A39B8">
        <w:t xml:space="preserve"> nabízí skupina TPA Group svým klientům služby globální sítě </w:t>
      </w:r>
      <w:proofErr w:type="spellStart"/>
      <w:r w:rsidRPr="007A39B8">
        <w:t>Baker</w:t>
      </w:r>
      <w:proofErr w:type="spellEnd"/>
      <w:r w:rsidRPr="007A39B8">
        <w:t xml:space="preserve"> </w:t>
      </w:r>
      <w:proofErr w:type="spellStart"/>
      <w:r w:rsidRPr="007A39B8">
        <w:t>Tilly</w:t>
      </w:r>
      <w:proofErr w:type="spellEnd"/>
      <w:r w:rsidRPr="007A39B8">
        <w:t xml:space="preserve"> International, která patří do první desítky celosvětových poradenských sítí. </w:t>
      </w:r>
    </w:p>
    <w:p w14:paraId="24B4D0B6" w14:textId="77777777" w:rsidR="00BA2004" w:rsidRPr="007A39B8" w:rsidRDefault="00BA2004" w:rsidP="007A39B8">
      <w:pPr>
        <w:pStyle w:val="F2-zkladn"/>
        <w:spacing w:before="0" w:line="264" w:lineRule="auto"/>
      </w:pPr>
    </w:p>
    <w:p w14:paraId="1A9B85E0" w14:textId="01DD576C" w:rsidR="001272D9" w:rsidRDefault="001272D9"/>
    <w:sectPr w:rsidR="001272D9" w:rsidSect="00FD070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17" w:right="1417" w:bottom="1417" w:left="1417"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D415" w14:textId="77777777" w:rsidR="00AB5863" w:rsidRDefault="00AB5863" w:rsidP="00087B0F">
      <w:pPr>
        <w:spacing w:after="0" w:line="240" w:lineRule="auto"/>
      </w:pPr>
      <w:r>
        <w:separator/>
      </w:r>
    </w:p>
  </w:endnote>
  <w:endnote w:type="continuationSeparator" w:id="0">
    <w:p w14:paraId="2F45F7FB" w14:textId="77777777" w:rsidR="00AB5863" w:rsidRDefault="00AB5863" w:rsidP="0008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C443" w14:textId="77777777" w:rsidR="00A71FE0" w:rsidRDefault="00A71F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DD5" w14:textId="77777777" w:rsidR="00A71FE0" w:rsidRDefault="00A71F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939D" w14:textId="77777777" w:rsidR="00A71FE0" w:rsidRDefault="00A71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5A2A" w14:textId="77777777" w:rsidR="00AB5863" w:rsidRDefault="00AB5863" w:rsidP="00087B0F">
      <w:pPr>
        <w:spacing w:after="0" w:line="240" w:lineRule="auto"/>
      </w:pPr>
      <w:r>
        <w:separator/>
      </w:r>
    </w:p>
  </w:footnote>
  <w:footnote w:type="continuationSeparator" w:id="0">
    <w:p w14:paraId="73CEA983" w14:textId="77777777" w:rsidR="00AB5863" w:rsidRDefault="00AB5863" w:rsidP="0008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97B2" w14:textId="77777777" w:rsidR="00A71FE0" w:rsidRDefault="00A71F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380" w14:textId="77777777" w:rsidR="00704800" w:rsidRDefault="004432AB">
    <w:pPr>
      <w:pStyle w:val="Zhlav"/>
    </w:pPr>
    <w:r>
      <w:rPr>
        <w:noProof/>
        <w:lang w:eastAsia="cs-CZ"/>
      </w:rPr>
      <w:drawing>
        <wp:anchor distT="0" distB="0" distL="114300" distR="114300" simplePos="0" relativeHeight="251657728" behindDoc="0" locked="0" layoutInCell="1" allowOverlap="1" wp14:anchorId="07FBAF7B" wp14:editId="5D87AFFD">
          <wp:simplePos x="0" y="0"/>
          <wp:positionH relativeFrom="margin">
            <wp:posOffset>4303395</wp:posOffset>
          </wp:positionH>
          <wp:positionV relativeFrom="margin">
            <wp:posOffset>-1171575</wp:posOffset>
          </wp:positionV>
          <wp:extent cx="1490980" cy="110998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BE73" w14:textId="77777777" w:rsidR="00A71FE0" w:rsidRDefault="00A71F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0F"/>
    <w:rsid w:val="00006AC2"/>
    <w:rsid w:val="00021254"/>
    <w:rsid w:val="00024EB1"/>
    <w:rsid w:val="00034EAB"/>
    <w:rsid w:val="000474F2"/>
    <w:rsid w:val="0005087E"/>
    <w:rsid w:val="000516E7"/>
    <w:rsid w:val="00056B71"/>
    <w:rsid w:val="00063FCD"/>
    <w:rsid w:val="00065420"/>
    <w:rsid w:val="00066FB2"/>
    <w:rsid w:val="00072CA9"/>
    <w:rsid w:val="00082265"/>
    <w:rsid w:val="00087B0F"/>
    <w:rsid w:val="000A2944"/>
    <w:rsid w:val="000A451A"/>
    <w:rsid w:val="000B1F52"/>
    <w:rsid w:val="000E0603"/>
    <w:rsid w:val="000F648D"/>
    <w:rsid w:val="001272D9"/>
    <w:rsid w:val="001349D3"/>
    <w:rsid w:val="00147AAD"/>
    <w:rsid w:val="001514D6"/>
    <w:rsid w:val="001643CE"/>
    <w:rsid w:val="001665B3"/>
    <w:rsid w:val="00172086"/>
    <w:rsid w:val="00181140"/>
    <w:rsid w:val="001833EC"/>
    <w:rsid w:val="00190F27"/>
    <w:rsid w:val="001B248E"/>
    <w:rsid w:val="001C0CE4"/>
    <w:rsid w:val="001E27EA"/>
    <w:rsid w:val="001F387C"/>
    <w:rsid w:val="001F501D"/>
    <w:rsid w:val="002212EA"/>
    <w:rsid w:val="0022496F"/>
    <w:rsid w:val="00232D8F"/>
    <w:rsid w:val="00235BCD"/>
    <w:rsid w:val="0024364D"/>
    <w:rsid w:val="002467AC"/>
    <w:rsid w:val="002468A7"/>
    <w:rsid w:val="0025133B"/>
    <w:rsid w:val="0027105E"/>
    <w:rsid w:val="002948D0"/>
    <w:rsid w:val="002A3294"/>
    <w:rsid w:val="002A7D37"/>
    <w:rsid w:val="002D345D"/>
    <w:rsid w:val="002D4C48"/>
    <w:rsid w:val="002E39E1"/>
    <w:rsid w:val="00302ABC"/>
    <w:rsid w:val="0030704F"/>
    <w:rsid w:val="00307EBA"/>
    <w:rsid w:val="003143B9"/>
    <w:rsid w:val="003164A3"/>
    <w:rsid w:val="00316D20"/>
    <w:rsid w:val="003371D5"/>
    <w:rsid w:val="003749FA"/>
    <w:rsid w:val="00381597"/>
    <w:rsid w:val="00385385"/>
    <w:rsid w:val="003916F2"/>
    <w:rsid w:val="003B5AE8"/>
    <w:rsid w:val="003D33AF"/>
    <w:rsid w:val="003D5F96"/>
    <w:rsid w:val="004010C0"/>
    <w:rsid w:val="00410BBE"/>
    <w:rsid w:val="00414BA1"/>
    <w:rsid w:val="00415AAB"/>
    <w:rsid w:val="004321DB"/>
    <w:rsid w:val="00433144"/>
    <w:rsid w:val="00433B9A"/>
    <w:rsid w:val="004432AB"/>
    <w:rsid w:val="0044506B"/>
    <w:rsid w:val="00466635"/>
    <w:rsid w:val="00474216"/>
    <w:rsid w:val="00480AAA"/>
    <w:rsid w:val="00483CC4"/>
    <w:rsid w:val="00490F1B"/>
    <w:rsid w:val="00494A82"/>
    <w:rsid w:val="00494D1A"/>
    <w:rsid w:val="004C261B"/>
    <w:rsid w:val="004D4BBC"/>
    <w:rsid w:val="004E2B60"/>
    <w:rsid w:val="004F1F03"/>
    <w:rsid w:val="004F326F"/>
    <w:rsid w:val="0051646C"/>
    <w:rsid w:val="005318CD"/>
    <w:rsid w:val="0053615C"/>
    <w:rsid w:val="00544EA3"/>
    <w:rsid w:val="005500FE"/>
    <w:rsid w:val="005601E7"/>
    <w:rsid w:val="005744B2"/>
    <w:rsid w:val="00590F8E"/>
    <w:rsid w:val="005935BA"/>
    <w:rsid w:val="005A2487"/>
    <w:rsid w:val="005A2DC0"/>
    <w:rsid w:val="005E16B6"/>
    <w:rsid w:val="006271A1"/>
    <w:rsid w:val="00643BFA"/>
    <w:rsid w:val="00650005"/>
    <w:rsid w:val="00667056"/>
    <w:rsid w:val="00677F43"/>
    <w:rsid w:val="006A65B5"/>
    <w:rsid w:val="006A7542"/>
    <w:rsid w:val="006B531A"/>
    <w:rsid w:val="006D4648"/>
    <w:rsid w:val="006D4B45"/>
    <w:rsid w:val="006E6C5B"/>
    <w:rsid w:val="006F39F5"/>
    <w:rsid w:val="00704800"/>
    <w:rsid w:val="00710848"/>
    <w:rsid w:val="0071272D"/>
    <w:rsid w:val="00732B15"/>
    <w:rsid w:val="00734F7E"/>
    <w:rsid w:val="007357E4"/>
    <w:rsid w:val="00735B2F"/>
    <w:rsid w:val="00742833"/>
    <w:rsid w:val="0075184E"/>
    <w:rsid w:val="00756665"/>
    <w:rsid w:val="00764026"/>
    <w:rsid w:val="007672E8"/>
    <w:rsid w:val="00775D78"/>
    <w:rsid w:val="00784698"/>
    <w:rsid w:val="00792360"/>
    <w:rsid w:val="007A39B8"/>
    <w:rsid w:val="007B4CB7"/>
    <w:rsid w:val="007B5B26"/>
    <w:rsid w:val="007B5F1E"/>
    <w:rsid w:val="007C65E0"/>
    <w:rsid w:val="007C74F1"/>
    <w:rsid w:val="007D4CFC"/>
    <w:rsid w:val="007E1A19"/>
    <w:rsid w:val="008109DB"/>
    <w:rsid w:val="00820D1C"/>
    <w:rsid w:val="00876906"/>
    <w:rsid w:val="008A6922"/>
    <w:rsid w:val="008B2D0E"/>
    <w:rsid w:val="008B71E2"/>
    <w:rsid w:val="008C35C6"/>
    <w:rsid w:val="008D2CED"/>
    <w:rsid w:val="008D30B5"/>
    <w:rsid w:val="008E0CBB"/>
    <w:rsid w:val="008E4064"/>
    <w:rsid w:val="00911D3B"/>
    <w:rsid w:val="009149D3"/>
    <w:rsid w:val="009312EA"/>
    <w:rsid w:val="0094373B"/>
    <w:rsid w:val="009448BF"/>
    <w:rsid w:val="00965886"/>
    <w:rsid w:val="00965982"/>
    <w:rsid w:val="009674C3"/>
    <w:rsid w:val="00976D76"/>
    <w:rsid w:val="0097794D"/>
    <w:rsid w:val="0099767A"/>
    <w:rsid w:val="00997BD4"/>
    <w:rsid w:val="009A0B16"/>
    <w:rsid w:val="009B0DF4"/>
    <w:rsid w:val="009D26BA"/>
    <w:rsid w:val="009F5D62"/>
    <w:rsid w:val="009F6061"/>
    <w:rsid w:val="00A03AEB"/>
    <w:rsid w:val="00A05DF4"/>
    <w:rsid w:val="00A33148"/>
    <w:rsid w:val="00A71FE0"/>
    <w:rsid w:val="00A74319"/>
    <w:rsid w:val="00A75C98"/>
    <w:rsid w:val="00A75E11"/>
    <w:rsid w:val="00A77597"/>
    <w:rsid w:val="00A86C10"/>
    <w:rsid w:val="00AA1EC4"/>
    <w:rsid w:val="00AA2DB4"/>
    <w:rsid w:val="00AB5863"/>
    <w:rsid w:val="00AD0D2A"/>
    <w:rsid w:val="00AD6570"/>
    <w:rsid w:val="00AE3FEF"/>
    <w:rsid w:val="00AF63E5"/>
    <w:rsid w:val="00B121F9"/>
    <w:rsid w:val="00B362B0"/>
    <w:rsid w:val="00B3732A"/>
    <w:rsid w:val="00B47281"/>
    <w:rsid w:val="00B66D84"/>
    <w:rsid w:val="00BA2004"/>
    <w:rsid w:val="00BA7058"/>
    <w:rsid w:val="00BB2F4F"/>
    <w:rsid w:val="00BC4A3D"/>
    <w:rsid w:val="00BD2839"/>
    <w:rsid w:val="00BD61CB"/>
    <w:rsid w:val="00BE16A9"/>
    <w:rsid w:val="00BF7D01"/>
    <w:rsid w:val="00BF7EDF"/>
    <w:rsid w:val="00C012A6"/>
    <w:rsid w:val="00C254FF"/>
    <w:rsid w:val="00C27561"/>
    <w:rsid w:val="00C328B8"/>
    <w:rsid w:val="00C43F8F"/>
    <w:rsid w:val="00C64D57"/>
    <w:rsid w:val="00C92F96"/>
    <w:rsid w:val="00CB1852"/>
    <w:rsid w:val="00CC1656"/>
    <w:rsid w:val="00CD0F82"/>
    <w:rsid w:val="00CD249C"/>
    <w:rsid w:val="00D01576"/>
    <w:rsid w:val="00D04011"/>
    <w:rsid w:val="00D05BA1"/>
    <w:rsid w:val="00D23939"/>
    <w:rsid w:val="00D26944"/>
    <w:rsid w:val="00D3001B"/>
    <w:rsid w:val="00D4284D"/>
    <w:rsid w:val="00D579C4"/>
    <w:rsid w:val="00D67270"/>
    <w:rsid w:val="00D72C84"/>
    <w:rsid w:val="00D73B92"/>
    <w:rsid w:val="00D74683"/>
    <w:rsid w:val="00D93651"/>
    <w:rsid w:val="00DA18DA"/>
    <w:rsid w:val="00DB6D1B"/>
    <w:rsid w:val="00DC0782"/>
    <w:rsid w:val="00DC112F"/>
    <w:rsid w:val="00DC66EC"/>
    <w:rsid w:val="00DD06BF"/>
    <w:rsid w:val="00DF5919"/>
    <w:rsid w:val="00DF7E3A"/>
    <w:rsid w:val="00E20A11"/>
    <w:rsid w:val="00E30CAC"/>
    <w:rsid w:val="00E62DFE"/>
    <w:rsid w:val="00E9566A"/>
    <w:rsid w:val="00E97493"/>
    <w:rsid w:val="00EA436F"/>
    <w:rsid w:val="00EB1C5A"/>
    <w:rsid w:val="00ED4CF4"/>
    <w:rsid w:val="00EE20B5"/>
    <w:rsid w:val="00F00E13"/>
    <w:rsid w:val="00F230EE"/>
    <w:rsid w:val="00F32BD2"/>
    <w:rsid w:val="00F36A0A"/>
    <w:rsid w:val="00F41FA0"/>
    <w:rsid w:val="00F80911"/>
    <w:rsid w:val="00FC081F"/>
    <w:rsid w:val="00FD0701"/>
    <w:rsid w:val="00FE255D"/>
    <w:rsid w:val="00FF47A3"/>
    <w:rsid w:val="0239750A"/>
    <w:rsid w:val="024FA9DA"/>
    <w:rsid w:val="026A6F84"/>
    <w:rsid w:val="02C5C4BA"/>
    <w:rsid w:val="039DD79F"/>
    <w:rsid w:val="03CB2327"/>
    <w:rsid w:val="04063FE5"/>
    <w:rsid w:val="044554D7"/>
    <w:rsid w:val="061501E2"/>
    <w:rsid w:val="06AE04F5"/>
    <w:rsid w:val="06D76539"/>
    <w:rsid w:val="06DC7D90"/>
    <w:rsid w:val="0702C3E9"/>
    <w:rsid w:val="07130723"/>
    <w:rsid w:val="08049A85"/>
    <w:rsid w:val="0A046E03"/>
    <w:rsid w:val="0A516C91"/>
    <w:rsid w:val="0A56F19F"/>
    <w:rsid w:val="0B427BBE"/>
    <w:rsid w:val="0C2C7BDA"/>
    <w:rsid w:val="0CF067FA"/>
    <w:rsid w:val="0D23EB31"/>
    <w:rsid w:val="0D85A985"/>
    <w:rsid w:val="0D890D53"/>
    <w:rsid w:val="0D8E9261"/>
    <w:rsid w:val="0DA10B06"/>
    <w:rsid w:val="0DB0DAD7"/>
    <w:rsid w:val="0F24DDB4"/>
    <w:rsid w:val="11323DC9"/>
    <w:rsid w:val="11C053D4"/>
    <w:rsid w:val="11E3B63F"/>
    <w:rsid w:val="133C96C0"/>
    <w:rsid w:val="137F86A0"/>
    <w:rsid w:val="13F663EB"/>
    <w:rsid w:val="14920391"/>
    <w:rsid w:val="1498C807"/>
    <w:rsid w:val="149E408F"/>
    <w:rsid w:val="151B5701"/>
    <w:rsid w:val="158504D8"/>
    <w:rsid w:val="15861CC3"/>
    <w:rsid w:val="1597C8AE"/>
    <w:rsid w:val="15CB354F"/>
    <w:rsid w:val="1619BCF7"/>
    <w:rsid w:val="1624654F"/>
    <w:rsid w:val="16B72762"/>
    <w:rsid w:val="17925970"/>
    <w:rsid w:val="1A09D6B1"/>
    <w:rsid w:val="1CFD05CD"/>
    <w:rsid w:val="1E91ED59"/>
    <w:rsid w:val="1FCF06F6"/>
    <w:rsid w:val="20676E1F"/>
    <w:rsid w:val="2081DB9E"/>
    <w:rsid w:val="213A9D77"/>
    <w:rsid w:val="21B6F183"/>
    <w:rsid w:val="21D220E9"/>
    <w:rsid w:val="2559AC75"/>
    <w:rsid w:val="25D060C8"/>
    <w:rsid w:val="25E70183"/>
    <w:rsid w:val="269E9D6D"/>
    <w:rsid w:val="26F0473F"/>
    <w:rsid w:val="27B88392"/>
    <w:rsid w:val="2808C856"/>
    <w:rsid w:val="28468436"/>
    <w:rsid w:val="2A27E801"/>
    <w:rsid w:val="2AB0D8C5"/>
    <w:rsid w:val="2BA37ED6"/>
    <w:rsid w:val="2BC3B862"/>
    <w:rsid w:val="2BCA5C77"/>
    <w:rsid w:val="2D3F4F37"/>
    <w:rsid w:val="2DF35B6A"/>
    <w:rsid w:val="2EBA6F57"/>
    <w:rsid w:val="2F90391C"/>
    <w:rsid w:val="3211BBAF"/>
    <w:rsid w:val="33576D49"/>
    <w:rsid w:val="338F62FE"/>
    <w:rsid w:val="368BE702"/>
    <w:rsid w:val="36C5D1A3"/>
    <w:rsid w:val="37EA4696"/>
    <w:rsid w:val="37F82A2B"/>
    <w:rsid w:val="3827B763"/>
    <w:rsid w:val="383903CB"/>
    <w:rsid w:val="38785213"/>
    <w:rsid w:val="39DA8FAA"/>
    <w:rsid w:val="3AC8D2A1"/>
    <w:rsid w:val="3DB991FF"/>
    <w:rsid w:val="3F2C8302"/>
    <w:rsid w:val="3F9D8B55"/>
    <w:rsid w:val="40E08CF3"/>
    <w:rsid w:val="41D101FA"/>
    <w:rsid w:val="423EC8DD"/>
    <w:rsid w:val="42F2394B"/>
    <w:rsid w:val="4301EB23"/>
    <w:rsid w:val="435F4054"/>
    <w:rsid w:val="43D3917C"/>
    <w:rsid w:val="449DBB84"/>
    <w:rsid w:val="456239FE"/>
    <w:rsid w:val="45A79B91"/>
    <w:rsid w:val="48A55F41"/>
    <w:rsid w:val="4AC1D451"/>
    <w:rsid w:val="4BE28462"/>
    <w:rsid w:val="4D4FA171"/>
    <w:rsid w:val="4E71413D"/>
    <w:rsid w:val="4F582A0F"/>
    <w:rsid w:val="50519165"/>
    <w:rsid w:val="507DE2B2"/>
    <w:rsid w:val="509F80CC"/>
    <w:rsid w:val="50B2ABFC"/>
    <w:rsid w:val="5184E352"/>
    <w:rsid w:val="5219B313"/>
    <w:rsid w:val="5239B5B1"/>
    <w:rsid w:val="52E14C6A"/>
    <w:rsid w:val="5365FA19"/>
    <w:rsid w:val="54C14231"/>
    <w:rsid w:val="55517EB9"/>
    <w:rsid w:val="57025B1C"/>
    <w:rsid w:val="574DCD63"/>
    <w:rsid w:val="58803E62"/>
    <w:rsid w:val="5948F6BA"/>
    <w:rsid w:val="595CF70E"/>
    <w:rsid w:val="59BEF68A"/>
    <w:rsid w:val="5B0BF1AE"/>
    <w:rsid w:val="5C12BFD7"/>
    <w:rsid w:val="5CF2FB64"/>
    <w:rsid w:val="5DABD8EA"/>
    <w:rsid w:val="5DDCD4EF"/>
    <w:rsid w:val="5F22C876"/>
    <w:rsid w:val="5F4262A1"/>
    <w:rsid w:val="5F96C9E2"/>
    <w:rsid w:val="603620A7"/>
    <w:rsid w:val="614198F8"/>
    <w:rsid w:val="616E8CBA"/>
    <w:rsid w:val="625BE913"/>
    <w:rsid w:val="6716E0B7"/>
    <w:rsid w:val="68B2B118"/>
    <w:rsid w:val="69249BAF"/>
    <w:rsid w:val="69338280"/>
    <w:rsid w:val="6AC5F9FD"/>
    <w:rsid w:val="6AE677CF"/>
    <w:rsid w:val="6BD301EF"/>
    <w:rsid w:val="6BD7B542"/>
    <w:rsid w:val="6C9011C9"/>
    <w:rsid w:val="6CBDCFBB"/>
    <w:rsid w:val="6D1443EB"/>
    <w:rsid w:val="6D44F48A"/>
    <w:rsid w:val="6E1A5989"/>
    <w:rsid w:val="6EDA87A2"/>
    <w:rsid w:val="6F1B5F1C"/>
    <w:rsid w:val="714D0E33"/>
    <w:rsid w:val="7340AE06"/>
    <w:rsid w:val="74A41C1E"/>
    <w:rsid w:val="74F16EB6"/>
    <w:rsid w:val="75780BC3"/>
    <w:rsid w:val="75C757B5"/>
    <w:rsid w:val="76A26285"/>
    <w:rsid w:val="77751B1B"/>
    <w:rsid w:val="77E7BF1A"/>
    <w:rsid w:val="789DD256"/>
    <w:rsid w:val="7A56B738"/>
    <w:rsid w:val="7A9EC4E7"/>
    <w:rsid w:val="7B3394A8"/>
    <w:rsid w:val="7B72F05E"/>
    <w:rsid w:val="7C13742E"/>
    <w:rsid w:val="7C25CE9C"/>
    <w:rsid w:val="7DA8AFEC"/>
    <w:rsid w:val="7EEC21A4"/>
    <w:rsid w:val="7EF7B203"/>
    <w:rsid w:val="7FA497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A7B5"/>
  <w15:chartTrackingRefBased/>
  <w15:docId w15:val="{CB94C65A-AEAA-42C2-B1E6-20340A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7B0F"/>
    <w:pPr>
      <w:tabs>
        <w:tab w:val="center" w:pos="4536"/>
        <w:tab w:val="right" w:pos="9072"/>
      </w:tabs>
    </w:pPr>
  </w:style>
  <w:style w:type="character" w:customStyle="1" w:styleId="ZhlavChar">
    <w:name w:val="Záhlaví Char"/>
    <w:link w:val="Zhlav"/>
    <w:uiPriority w:val="99"/>
    <w:rsid w:val="00087B0F"/>
    <w:rPr>
      <w:sz w:val="22"/>
      <w:szCs w:val="22"/>
      <w:lang w:eastAsia="en-US"/>
    </w:rPr>
  </w:style>
  <w:style w:type="paragraph" w:styleId="Zpat">
    <w:name w:val="footer"/>
    <w:basedOn w:val="Normln"/>
    <w:link w:val="ZpatChar"/>
    <w:uiPriority w:val="99"/>
    <w:unhideWhenUsed/>
    <w:rsid w:val="00087B0F"/>
    <w:pPr>
      <w:tabs>
        <w:tab w:val="center" w:pos="4536"/>
        <w:tab w:val="right" w:pos="9072"/>
      </w:tabs>
    </w:pPr>
  </w:style>
  <w:style w:type="character" w:customStyle="1" w:styleId="ZpatChar">
    <w:name w:val="Zápatí Char"/>
    <w:link w:val="Zpat"/>
    <w:uiPriority w:val="99"/>
    <w:rsid w:val="00087B0F"/>
    <w:rPr>
      <w:sz w:val="22"/>
      <w:szCs w:val="22"/>
      <w:lang w:eastAsia="en-US"/>
    </w:rPr>
  </w:style>
  <w:style w:type="paragraph" w:customStyle="1" w:styleId="F2-zkladn">
    <w:name w:val="F2 - základní"/>
    <w:link w:val="F2-zkladnCharChar"/>
    <w:rsid w:val="00EB1C5A"/>
    <w:pPr>
      <w:spacing w:before="240" w:line="300" w:lineRule="exact"/>
      <w:jc w:val="both"/>
    </w:pPr>
    <w:rPr>
      <w:rFonts w:ascii="Arial" w:eastAsia="Times New Roman" w:hAnsi="Arial" w:cs="Arial"/>
      <w:lang w:eastAsia="cs-CZ"/>
    </w:rPr>
  </w:style>
  <w:style w:type="character" w:styleId="Hypertextovodkaz">
    <w:name w:val="Hyperlink"/>
    <w:semiHidden/>
    <w:rsid w:val="00EB1C5A"/>
    <w:rPr>
      <w:color w:val="0000FF"/>
      <w:u w:val="single"/>
    </w:rPr>
  </w:style>
  <w:style w:type="character" w:customStyle="1" w:styleId="F2-zkladnCharChar">
    <w:name w:val="F2 - základní Char Char"/>
    <w:link w:val="F2-zkladn"/>
    <w:rsid w:val="00EB1C5A"/>
    <w:rPr>
      <w:rFonts w:ascii="Arial" w:eastAsia="Times New Roman" w:hAnsi="Arial" w:cs="Arial"/>
    </w:rPr>
  </w:style>
  <w:style w:type="character" w:styleId="Odkaznakoment">
    <w:name w:val="annotation reference"/>
    <w:uiPriority w:val="99"/>
    <w:semiHidden/>
    <w:unhideWhenUsed/>
    <w:rsid w:val="00BC4A3D"/>
    <w:rPr>
      <w:sz w:val="16"/>
      <w:szCs w:val="16"/>
    </w:rPr>
  </w:style>
  <w:style w:type="paragraph" w:styleId="Textkomente">
    <w:name w:val="annotation text"/>
    <w:basedOn w:val="Normln"/>
    <w:link w:val="TextkomenteChar"/>
    <w:uiPriority w:val="99"/>
    <w:unhideWhenUsed/>
    <w:rsid w:val="00BC4A3D"/>
    <w:rPr>
      <w:sz w:val="20"/>
      <w:szCs w:val="20"/>
    </w:rPr>
  </w:style>
  <w:style w:type="character" w:customStyle="1" w:styleId="TextkomenteChar">
    <w:name w:val="Text komentáře Char"/>
    <w:link w:val="Textkomente"/>
    <w:uiPriority w:val="99"/>
    <w:rsid w:val="00BC4A3D"/>
    <w:rPr>
      <w:lang w:eastAsia="en-US"/>
    </w:rPr>
  </w:style>
  <w:style w:type="paragraph" w:styleId="Pedmtkomente">
    <w:name w:val="annotation subject"/>
    <w:basedOn w:val="Textkomente"/>
    <w:next w:val="Textkomente"/>
    <w:link w:val="PedmtkomenteChar"/>
    <w:uiPriority w:val="99"/>
    <w:semiHidden/>
    <w:unhideWhenUsed/>
    <w:rsid w:val="00BC4A3D"/>
    <w:rPr>
      <w:b/>
      <w:bCs/>
    </w:rPr>
  </w:style>
  <w:style w:type="character" w:customStyle="1" w:styleId="PedmtkomenteChar">
    <w:name w:val="Předmět komentáře Char"/>
    <w:link w:val="Pedmtkomente"/>
    <w:uiPriority w:val="99"/>
    <w:semiHidden/>
    <w:rsid w:val="00BC4A3D"/>
    <w:rPr>
      <w:b/>
      <w:bCs/>
      <w:lang w:eastAsia="en-US"/>
    </w:rPr>
  </w:style>
  <w:style w:type="paragraph" w:styleId="Textbubliny">
    <w:name w:val="Balloon Text"/>
    <w:basedOn w:val="Normln"/>
    <w:link w:val="TextbublinyChar"/>
    <w:uiPriority w:val="99"/>
    <w:semiHidden/>
    <w:unhideWhenUsed/>
    <w:rsid w:val="00BC4A3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C4A3D"/>
    <w:rPr>
      <w:rFonts w:ascii="Segoe UI" w:hAnsi="Segoe UI" w:cs="Segoe UI"/>
      <w:sz w:val="18"/>
      <w:szCs w:val="18"/>
      <w:lang w:eastAsia="en-US"/>
    </w:rPr>
  </w:style>
  <w:style w:type="paragraph" w:styleId="Revize">
    <w:name w:val="Revision"/>
    <w:hidden/>
    <w:uiPriority w:val="99"/>
    <w:semiHidden/>
    <w:rsid w:val="00BC4A3D"/>
    <w:rPr>
      <w:sz w:val="22"/>
      <w:szCs w:val="22"/>
      <w:lang w:eastAsia="en-US"/>
    </w:rPr>
  </w:style>
  <w:style w:type="paragraph" w:customStyle="1" w:styleId="Default">
    <w:name w:val="Default"/>
    <w:rsid w:val="00024EB1"/>
    <w:pPr>
      <w:autoSpaceDE w:val="0"/>
      <w:autoSpaceDN w:val="0"/>
      <w:adjustRightInd w:val="0"/>
    </w:pPr>
    <w:rPr>
      <w:rFonts w:ascii="Arial" w:eastAsiaTheme="minorHAnsi" w:hAnsi="Arial" w:cs="Arial"/>
      <w:color w:val="000000"/>
      <w:sz w:val="24"/>
      <w:szCs w:val="24"/>
      <w:lang w:eastAsia="en-US"/>
    </w:rPr>
  </w:style>
  <w:style w:type="paragraph" w:styleId="Textvysvtlivek">
    <w:name w:val="endnote text"/>
    <w:basedOn w:val="Normln"/>
    <w:link w:val="TextvysvtlivekChar"/>
    <w:uiPriority w:val="99"/>
    <w:semiHidden/>
    <w:unhideWhenUsed/>
    <w:rsid w:val="002468A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468A7"/>
    <w:rPr>
      <w:lang w:eastAsia="en-US"/>
    </w:rPr>
  </w:style>
  <w:style w:type="character" w:styleId="Odkaznavysvtlivky">
    <w:name w:val="endnote reference"/>
    <w:basedOn w:val="Standardnpsmoodstavce"/>
    <w:uiPriority w:val="99"/>
    <w:semiHidden/>
    <w:unhideWhenUsed/>
    <w:rsid w:val="002468A7"/>
    <w:rPr>
      <w:vertAlign w:val="superscript"/>
    </w:rPr>
  </w:style>
  <w:style w:type="paragraph" w:styleId="Textpoznpodarou">
    <w:name w:val="footnote text"/>
    <w:basedOn w:val="Normln"/>
    <w:link w:val="TextpoznpodarouChar"/>
    <w:uiPriority w:val="99"/>
    <w:semiHidden/>
    <w:unhideWhenUsed/>
    <w:rsid w:val="006B53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531A"/>
    <w:rPr>
      <w:lang w:eastAsia="en-US"/>
    </w:rPr>
  </w:style>
  <w:style w:type="character" w:styleId="Znakapoznpodarou">
    <w:name w:val="footnote reference"/>
    <w:basedOn w:val="Standardnpsmoodstavce"/>
    <w:uiPriority w:val="99"/>
    <w:semiHidden/>
    <w:unhideWhenUsed/>
    <w:rsid w:val="006B531A"/>
    <w:rPr>
      <w:vertAlign w:val="superscript"/>
    </w:rPr>
  </w:style>
  <w:style w:type="character" w:styleId="Nevyeenzmnka">
    <w:name w:val="Unresolved Mention"/>
    <w:basedOn w:val="Standardnpsmoodstavce"/>
    <w:uiPriority w:val="99"/>
    <w:semiHidden/>
    <w:unhideWhenUsed/>
    <w:rsid w:val="002A3294"/>
    <w:rPr>
      <w:color w:val="605E5C"/>
      <w:shd w:val="clear" w:color="auto" w:fill="E1DFDD"/>
    </w:rPr>
  </w:style>
  <w:style w:type="paragraph" w:styleId="Normlnweb">
    <w:name w:val="Normal (Web)"/>
    <w:basedOn w:val="Normln"/>
    <w:uiPriority w:val="99"/>
    <w:semiHidden/>
    <w:unhideWhenUsed/>
    <w:rsid w:val="00ED4CF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80">
      <w:bodyDiv w:val="1"/>
      <w:marLeft w:val="0"/>
      <w:marRight w:val="0"/>
      <w:marTop w:val="0"/>
      <w:marBottom w:val="0"/>
      <w:divBdr>
        <w:top w:val="none" w:sz="0" w:space="0" w:color="auto"/>
        <w:left w:val="none" w:sz="0" w:space="0" w:color="auto"/>
        <w:bottom w:val="none" w:sz="0" w:space="0" w:color="auto"/>
        <w:right w:val="none" w:sz="0" w:space="0" w:color="auto"/>
      </w:divBdr>
    </w:div>
    <w:div w:id="58289220">
      <w:bodyDiv w:val="1"/>
      <w:marLeft w:val="0"/>
      <w:marRight w:val="0"/>
      <w:marTop w:val="0"/>
      <w:marBottom w:val="0"/>
      <w:divBdr>
        <w:top w:val="none" w:sz="0" w:space="0" w:color="auto"/>
        <w:left w:val="none" w:sz="0" w:space="0" w:color="auto"/>
        <w:bottom w:val="none" w:sz="0" w:space="0" w:color="auto"/>
        <w:right w:val="none" w:sz="0" w:space="0" w:color="auto"/>
      </w:divBdr>
    </w:div>
    <w:div w:id="72704477">
      <w:bodyDiv w:val="1"/>
      <w:marLeft w:val="0"/>
      <w:marRight w:val="0"/>
      <w:marTop w:val="0"/>
      <w:marBottom w:val="0"/>
      <w:divBdr>
        <w:top w:val="none" w:sz="0" w:space="0" w:color="auto"/>
        <w:left w:val="none" w:sz="0" w:space="0" w:color="auto"/>
        <w:bottom w:val="none" w:sz="0" w:space="0" w:color="auto"/>
        <w:right w:val="none" w:sz="0" w:space="0" w:color="auto"/>
      </w:divBdr>
    </w:div>
    <w:div w:id="460193796">
      <w:bodyDiv w:val="1"/>
      <w:marLeft w:val="0"/>
      <w:marRight w:val="0"/>
      <w:marTop w:val="0"/>
      <w:marBottom w:val="0"/>
      <w:divBdr>
        <w:top w:val="none" w:sz="0" w:space="0" w:color="auto"/>
        <w:left w:val="none" w:sz="0" w:space="0" w:color="auto"/>
        <w:bottom w:val="none" w:sz="0" w:space="0" w:color="auto"/>
        <w:right w:val="none" w:sz="0" w:space="0" w:color="auto"/>
      </w:divBdr>
    </w:div>
    <w:div w:id="549270150">
      <w:bodyDiv w:val="1"/>
      <w:marLeft w:val="0"/>
      <w:marRight w:val="0"/>
      <w:marTop w:val="0"/>
      <w:marBottom w:val="0"/>
      <w:divBdr>
        <w:top w:val="none" w:sz="0" w:space="0" w:color="auto"/>
        <w:left w:val="none" w:sz="0" w:space="0" w:color="auto"/>
        <w:bottom w:val="none" w:sz="0" w:space="0" w:color="auto"/>
        <w:right w:val="none" w:sz="0" w:space="0" w:color="auto"/>
      </w:divBdr>
    </w:div>
    <w:div w:id="910894313">
      <w:bodyDiv w:val="1"/>
      <w:marLeft w:val="0"/>
      <w:marRight w:val="0"/>
      <w:marTop w:val="0"/>
      <w:marBottom w:val="0"/>
      <w:divBdr>
        <w:top w:val="none" w:sz="0" w:space="0" w:color="auto"/>
        <w:left w:val="none" w:sz="0" w:space="0" w:color="auto"/>
        <w:bottom w:val="none" w:sz="0" w:space="0" w:color="auto"/>
        <w:right w:val="none" w:sz="0" w:space="0" w:color="auto"/>
      </w:divBdr>
    </w:div>
    <w:div w:id="1029524221">
      <w:bodyDiv w:val="1"/>
      <w:marLeft w:val="0"/>
      <w:marRight w:val="0"/>
      <w:marTop w:val="0"/>
      <w:marBottom w:val="0"/>
      <w:divBdr>
        <w:top w:val="none" w:sz="0" w:space="0" w:color="auto"/>
        <w:left w:val="none" w:sz="0" w:space="0" w:color="auto"/>
        <w:bottom w:val="none" w:sz="0" w:space="0" w:color="auto"/>
        <w:right w:val="none" w:sz="0" w:space="0" w:color="auto"/>
      </w:divBdr>
    </w:div>
    <w:div w:id="1078283639">
      <w:bodyDiv w:val="1"/>
      <w:marLeft w:val="0"/>
      <w:marRight w:val="0"/>
      <w:marTop w:val="0"/>
      <w:marBottom w:val="0"/>
      <w:divBdr>
        <w:top w:val="none" w:sz="0" w:space="0" w:color="auto"/>
        <w:left w:val="none" w:sz="0" w:space="0" w:color="auto"/>
        <w:bottom w:val="none" w:sz="0" w:space="0" w:color="auto"/>
        <w:right w:val="none" w:sz="0" w:space="0" w:color="auto"/>
      </w:divBdr>
    </w:div>
    <w:div w:id="1161581969">
      <w:bodyDiv w:val="1"/>
      <w:marLeft w:val="0"/>
      <w:marRight w:val="0"/>
      <w:marTop w:val="0"/>
      <w:marBottom w:val="0"/>
      <w:divBdr>
        <w:top w:val="none" w:sz="0" w:space="0" w:color="auto"/>
        <w:left w:val="none" w:sz="0" w:space="0" w:color="auto"/>
        <w:bottom w:val="none" w:sz="0" w:space="0" w:color="auto"/>
        <w:right w:val="none" w:sz="0" w:space="0" w:color="auto"/>
      </w:divBdr>
    </w:div>
    <w:div w:id="1363094334">
      <w:bodyDiv w:val="1"/>
      <w:marLeft w:val="0"/>
      <w:marRight w:val="0"/>
      <w:marTop w:val="0"/>
      <w:marBottom w:val="0"/>
      <w:divBdr>
        <w:top w:val="none" w:sz="0" w:space="0" w:color="auto"/>
        <w:left w:val="none" w:sz="0" w:space="0" w:color="auto"/>
        <w:bottom w:val="none" w:sz="0" w:space="0" w:color="auto"/>
        <w:right w:val="none" w:sz="0" w:space="0" w:color="auto"/>
      </w:divBdr>
    </w:div>
    <w:div w:id="1376463605">
      <w:bodyDiv w:val="1"/>
      <w:marLeft w:val="0"/>
      <w:marRight w:val="0"/>
      <w:marTop w:val="0"/>
      <w:marBottom w:val="0"/>
      <w:divBdr>
        <w:top w:val="none" w:sz="0" w:space="0" w:color="auto"/>
        <w:left w:val="none" w:sz="0" w:space="0" w:color="auto"/>
        <w:bottom w:val="none" w:sz="0" w:space="0" w:color="auto"/>
        <w:right w:val="none" w:sz="0" w:space="0" w:color="auto"/>
      </w:divBdr>
    </w:div>
    <w:div w:id="1926068778">
      <w:bodyDiv w:val="1"/>
      <w:marLeft w:val="0"/>
      <w:marRight w:val="0"/>
      <w:marTop w:val="0"/>
      <w:marBottom w:val="0"/>
      <w:divBdr>
        <w:top w:val="none" w:sz="0" w:space="0" w:color="auto"/>
        <w:left w:val="none" w:sz="0" w:space="0" w:color="auto"/>
        <w:bottom w:val="none" w:sz="0" w:space="0" w:color="auto"/>
        <w:right w:val="none" w:sz="0" w:space="0" w:color="auto"/>
      </w:divBdr>
    </w:div>
    <w:div w:id="1970747824">
      <w:bodyDiv w:val="1"/>
      <w:marLeft w:val="0"/>
      <w:marRight w:val="0"/>
      <w:marTop w:val="0"/>
      <w:marBottom w:val="0"/>
      <w:divBdr>
        <w:top w:val="none" w:sz="0" w:space="0" w:color="auto"/>
        <w:left w:val="none" w:sz="0" w:space="0" w:color="auto"/>
        <w:bottom w:val="none" w:sz="0" w:space="0" w:color="auto"/>
        <w:right w:val="none" w:sz="0" w:space="0" w:color="auto"/>
      </w:divBdr>
    </w:div>
    <w:div w:id="2002467253">
      <w:bodyDiv w:val="1"/>
      <w:marLeft w:val="0"/>
      <w:marRight w:val="0"/>
      <w:marTop w:val="0"/>
      <w:marBottom w:val="0"/>
      <w:divBdr>
        <w:top w:val="none" w:sz="0" w:space="0" w:color="auto"/>
        <w:left w:val="none" w:sz="0" w:space="0" w:color="auto"/>
        <w:bottom w:val="none" w:sz="0" w:space="0" w:color="auto"/>
        <w:right w:val="none" w:sz="0" w:space="0" w:color="auto"/>
      </w:divBdr>
    </w:div>
    <w:div w:id="2032299933">
      <w:bodyDiv w:val="1"/>
      <w:marLeft w:val="0"/>
      <w:marRight w:val="0"/>
      <w:marTop w:val="0"/>
      <w:marBottom w:val="0"/>
      <w:divBdr>
        <w:top w:val="none" w:sz="0" w:space="0" w:color="auto"/>
        <w:left w:val="none" w:sz="0" w:space="0" w:color="auto"/>
        <w:bottom w:val="none" w:sz="0" w:space="0" w:color="auto"/>
        <w:right w:val="none" w:sz="0" w:space="0" w:color="auto"/>
      </w:divBdr>
    </w:div>
    <w:div w:id="2109038829">
      <w:bodyDiv w:val="1"/>
      <w:marLeft w:val="0"/>
      <w:marRight w:val="0"/>
      <w:marTop w:val="0"/>
      <w:marBottom w:val="0"/>
      <w:divBdr>
        <w:top w:val="none" w:sz="0" w:space="0" w:color="auto"/>
        <w:left w:val="none" w:sz="0" w:space="0" w:color="auto"/>
        <w:bottom w:val="none" w:sz="0" w:space="0" w:color="auto"/>
        <w:right w:val="none" w:sz="0" w:space="0" w:color="auto"/>
      </w:divBdr>
    </w:div>
    <w:div w:id="21456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kertilly.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kertillyinternational.com/web/home.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mila.zitnakova@crestcom.c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7" ma:contentTypeDescription="Create a new document." ma:contentTypeScope="" ma:versionID="ba54ac86fa32514b7de18f7e3d34337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0cf17a622c2a0e98eb65bc20358a695a"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4D755-B27C-44A7-AE74-9DCC544A0D65}">
  <ds:schemaRefs>
    <ds:schemaRef ds:uri="http://schemas.openxmlformats.org/officeDocument/2006/bibliography"/>
  </ds:schemaRefs>
</ds:datastoreItem>
</file>

<file path=customXml/itemProps2.xml><?xml version="1.0" encoding="utf-8"?>
<ds:datastoreItem xmlns:ds="http://schemas.openxmlformats.org/officeDocument/2006/customXml" ds:itemID="{9F97E4DF-B34A-40D8-9B4C-46486313516F}">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93AA623-DF1C-419B-AF75-233BA4F6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FF66F-A157-442A-8009-5FD2957D1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726</Words>
  <Characters>4290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Linhartová</dc:creator>
  <cp:keywords/>
  <dc:description/>
  <cp:lastModifiedBy>Gabriela Hampejsová</cp:lastModifiedBy>
  <cp:revision>2</cp:revision>
  <cp:lastPrinted>2016-08-25T19:42:00Z</cp:lastPrinted>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